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2C5F" w14:textId="4EF8350C" w:rsidR="007F1E30" w:rsidRDefault="00B249BE">
      <w:proofErr w:type="spellStart"/>
      <w:r>
        <w:t>Ghidul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de </w:t>
      </w:r>
      <w:proofErr w:type="spellStart"/>
      <w:r>
        <w:t>integritate</w:t>
      </w:r>
      <w:proofErr w:type="spellEnd"/>
    </w:p>
    <w:p w14:paraId="5D06BF1B" w14:textId="77777777" w:rsidR="00B249BE" w:rsidRPr="00B249BE" w:rsidRDefault="00B249BE" w:rsidP="00B249BE">
      <w:pPr>
        <w:spacing w:before="540" w:after="180" w:line="240" w:lineRule="auto"/>
        <w:jc w:val="center"/>
        <w:textAlignment w:val="baseline"/>
        <w:outlineLvl w:val="3"/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</w:pPr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 xml:space="preserve">Cum se </w:t>
      </w:r>
      <w:proofErr w:type="spellStart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>utilizeaz</w:t>
      </w:r>
      <w:r w:rsidRPr="00B249BE">
        <w:rPr>
          <w:rFonts w:ascii="Calibri" w:eastAsia="Times New Roman" w:hAnsi="Calibri" w:cs="Calibri"/>
          <w:b/>
          <w:bCs/>
          <w:color w:val="2B2B2B"/>
          <w:kern w:val="0"/>
          <w:sz w:val="30"/>
          <w:szCs w:val="30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>instrumentul</w:t>
      </w:r>
      <w:proofErr w:type="spellEnd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>avertizorului</w:t>
      </w:r>
      <w:proofErr w:type="spellEnd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b/>
          <w:bCs/>
          <w:color w:val="2B2B2B"/>
          <w:kern w:val="0"/>
          <w:sz w:val="30"/>
          <w:szCs w:val="30"/>
          <w14:ligatures w14:val="none"/>
        </w:rPr>
        <w:t>integritate</w:t>
      </w:r>
      <w:proofErr w:type="spellEnd"/>
    </w:p>
    <w:p w14:paraId="66DE5708" w14:textId="77777777" w:rsidR="00B249BE" w:rsidRPr="00B249BE" w:rsidRDefault="00B249BE" w:rsidP="00B249BE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 </w:t>
      </w:r>
    </w:p>
    <w:p w14:paraId="7ABDC125" w14:textId="77777777" w:rsidR="00B249BE" w:rsidRPr="00B249BE" w:rsidRDefault="00B249BE" w:rsidP="00B249BE">
      <w:pPr>
        <w:spacing w:after="36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Avertizorul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integritate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este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persoana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care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sesizeaz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cu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bun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-credin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Lato"/>
          <w:color w:val="2B2B2B"/>
          <w:kern w:val="0"/>
          <w:sz w:val="21"/>
          <w:szCs w:val="21"/>
          <w14:ligatures w14:val="none"/>
        </w:rPr>
        <w:t>î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nc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lc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ri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legii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ale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deontologiei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profesionale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principiilor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bunei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administr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ri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eficien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eficacit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economicit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ș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transparen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ș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care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este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Lato"/>
          <w:color w:val="2B2B2B"/>
          <w:kern w:val="0"/>
          <w:sz w:val="21"/>
          <w:szCs w:val="21"/>
          <w14:ligatures w14:val="none"/>
        </w:rPr>
        <w:t>î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ncadrat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Lato"/>
          <w:color w:val="2B2B2B"/>
          <w:kern w:val="0"/>
          <w:sz w:val="21"/>
          <w:szCs w:val="21"/>
          <w14:ligatures w14:val="none"/>
        </w:rPr>
        <w:t>î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autorit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institu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companii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na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ionale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regii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autonome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na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ional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ș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local,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ori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Lato"/>
          <w:color w:val="2B2B2B"/>
          <w:kern w:val="0"/>
          <w:sz w:val="21"/>
          <w:szCs w:val="21"/>
          <w14:ligatures w14:val="none"/>
        </w:rPr>
        <w:t>î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societ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na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ionale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cu capital de stat.</w:t>
      </w:r>
    </w:p>
    <w:p w14:paraId="5CA79037" w14:textId="77777777" w:rsidR="00B249BE" w:rsidRPr="00B249BE" w:rsidRDefault="00B249BE" w:rsidP="00B249B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Cine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este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avertizorul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integritate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?</w:t>
      </w:r>
    </w:p>
    <w:p w14:paraId="23547DDA" w14:textId="77777777" w:rsidR="00B249BE" w:rsidRPr="00B249BE" w:rsidRDefault="00B249BE" w:rsidP="00B249BE">
      <w:pPr>
        <w:spacing w:after="36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Avertizorul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integritate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este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persoana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care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sesizeaz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cu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bun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-credin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Lato"/>
          <w:color w:val="2B2B2B"/>
          <w:kern w:val="0"/>
          <w:sz w:val="21"/>
          <w:szCs w:val="21"/>
          <w14:ligatures w14:val="none"/>
        </w:rPr>
        <w:t>î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nc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lc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ri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legii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ș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care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poate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fi:</w:t>
      </w:r>
    </w:p>
    <w:p w14:paraId="7B6CCEF0" w14:textId="77777777" w:rsidR="00B249BE" w:rsidRPr="00B249BE" w:rsidRDefault="00B249BE" w:rsidP="00B249BE">
      <w:pPr>
        <w:numPr>
          <w:ilvl w:val="0"/>
          <w:numId w:val="1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funcționar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public –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persoana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învestită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numire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într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-o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funcție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din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structura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unei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autorități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instituții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cu prerogative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realizarea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competenței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acestora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regim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putere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având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ca scop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realizarea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unui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public;</w:t>
      </w:r>
    </w:p>
    <w:p w14:paraId="184BB69D" w14:textId="77777777" w:rsidR="00B249BE" w:rsidRPr="00B249BE" w:rsidRDefault="00B249BE" w:rsidP="00B249BE">
      <w:pPr>
        <w:numPr>
          <w:ilvl w:val="0"/>
          <w:numId w:val="1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personal contractual, conform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Codului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Muncii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2BA96E64" w14:textId="77777777" w:rsidR="00B249BE" w:rsidRPr="00B249BE" w:rsidRDefault="00B249BE" w:rsidP="00B249BE">
      <w:pPr>
        <w:numPr>
          <w:ilvl w:val="0"/>
          <w:numId w:val="1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personal care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desfășoară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activitatea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baza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unor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statute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speciale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medicii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profesorii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politistii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grefierii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instanțelor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preoții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etc.</w:t>
      </w:r>
    </w:p>
    <w:p w14:paraId="1DFCC580" w14:textId="77777777" w:rsidR="00B249BE" w:rsidRPr="00B249BE" w:rsidRDefault="00B249BE" w:rsidP="00B249BE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 </w:t>
      </w:r>
    </w:p>
    <w:p w14:paraId="05318ACF" w14:textId="77777777" w:rsidR="00B249BE" w:rsidRPr="00B249BE" w:rsidRDefault="00B249BE" w:rsidP="00B249B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Ce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fapte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sesizează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avertizorul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integritate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?</w:t>
      </w:r>
    </w:p>
    <w:p w14:paraId="58A6C95E" w14:textId="77777777" w:rsidR="00B249BE" w:rsidRPr="00B249BE" w:rsidRDefault="00B249BE" w:rsidP="00B249BE">
      <w:pPr>
        <w:spacing w:after="36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Faptele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care pot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constitui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subiectul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unei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avertiz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ri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integritate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sunt:</w:t>
      </w:r>
    </w:p>
    <w:p w14:paraId="1187EE66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corupție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asimilate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corupție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legătură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directă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corupție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fals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serviciu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legătură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serviciul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26D16AF7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infracțiuni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împotriva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intereselor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financiare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Comunităților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Europene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4B014A24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practici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tratamente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preferențiale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discriminatorii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exercitarea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atribuțiilor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autorităților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institutiilor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companiilor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naționale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regiilor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autonome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național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local,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societăților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naționale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cu capital de stat;</w:t>
      </w:r>
    </w:p>
    <w:p w14:paraId="0B861AB4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încălcarea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prevederilor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privind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incompatibilitățile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conflictele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32BB13C7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folosirea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abuzivă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resurselor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materiale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umane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4DF28F76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partizanatul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politic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exercitarea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prerogativelor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postului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cu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excepția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persoanelor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alese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numite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politic;</w:t>
      </w:r>
    </w:p>
    <w:p w14:paraId="6D76775C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încălcări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privința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accesului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la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informații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transparenței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decizionale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74CDE7EC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încălcarea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prevederilor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privind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achizițiile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finanțările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nerambursabile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1A475155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incompetența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neglijența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serviciu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3D07E273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evaluări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neobiective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personalului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procesul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recrutare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selectare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promovare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retrogradare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eliberare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din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funcție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728734EF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încălcări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procedurilor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administrative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stabilirea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unor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proceduri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interne cu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nerespectarea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4806A8E3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emiterea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acte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administrative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altă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natură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care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servesc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grup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clientelare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4289F43E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administrarea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defectuoasă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frauduloasă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patrimoniului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public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privat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autorităților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instituțiilor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companiilor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nationale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regiilor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autonome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national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local,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societatilor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nationale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cu capital de stat;</w:t>
      </w:r>
    </w:p>
    <w:p w14:paraId="416BB7F4" w14:textId="77777777" w:rsidR="00B249BE" w:rsidRPr="00B249BE" w:rsidRDefault="00B249BE" w:rsidP="00B249BE">
      <w:pPr>
        <w:numPr>
          <w:ilvl w:val="0"/>
          <w:numId w:val="2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lastRenderedPageBreak/>
        <w:t>încălcarea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altor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dispoziții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care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impun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respectarea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principiului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bunei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administrări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cel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ocrotirii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public.</w:t>
      </w:r>
    </w:p>
    <w:p w14:paraId="5C7CE5C7" w14:textId="77777777" w:rsidR="00B249BE" w:rsidRPr="00B249BE" w:rsidRDefault="00B249BE" w:rsidP="00B249BE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 </w:t>
      </w:r>
    </w:p>
    <w:p w14:paraId="3E87F0D7" w14:textId="77777777" w:rsidR="00B249BE" w:rsidRPr="00B249BE" w:rsidRDefault="00B249BE" w:rsidP="00B249B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Cum sunt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protejați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avertizorii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integritate</w:t>
      </w:r>
      <w:proofErr w:type="spellEnd"/>
      <w:r w:rsidRPr="00B249BE">
        <w:rPr>
          <w:rFonts w:ascii="inherit" w:eastAsia="Times New Roman" w:hAnsi="inherit" w:cs="Times New Roman"/>
          <w:b/>
          <w:bCs/>
          <w:i/>
          <w:iCs/>
          <w:color w:val="2B2B2B"/>
          <w:kern w:val="0"/>
          <w:sz w:val="21"/>
          <w:szCs w:val="21"/>
          <w:bdr w:val="none" w:sz="0" w:space="0" w:color="auto" w:frame="1"/>
          <w14:ligatures w14:val="none"/>
        </w:rPr>
        <w:t>?</w:t>
      </w:r>
    </w:p>
    <w:p w14:paraId="002F3104" w14:textId="77777777" w:rsidR="00B249BE" w:rsidRPr="00B249BE" w:rsidRDefault="00B249BE" w:rsidP="00B249BE">
      <w:pPr>
        <w:spacing w:after="360" w:line="240" w:lineRule="auto"/>
        <w:jc w:val="both"/>
        <w:textAlignment w:val="baseline"/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Potrivit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procedurii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opera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ionale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privind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avertizorii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integritate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adoptate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Agen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ia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Na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ional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Integritate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persoanele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care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semnaleaz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faptele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corup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mai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sus-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men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ț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ionate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beneficiaz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protec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ţ</w:t>
      </w:r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ie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dup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 xml:space="preserve"> cum </w:t>
      </w:r>
      <w:proofErr w:type="spellStart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urmeaz</w:t>
      </w:r>
      <w:r w:rsidRPr="00B249BE">
        <w:rPr>
          <w:rFonts w:ascii="Calibri" w:eastAsia="Times New Roman" w:hAnsi="Calibri" w:cs="Calibri"/>
          <w:color w:val="2B2B2B"/>
          <w:kern w:val="0"/>
          <w:sz w:val="21"/>
          <w:szCs w:val="21"/>
          <w14:ligatures w14:val="none"/>
        </w:rPr>
        <w:t>ă</w:t>
      </w:r>
      <w:proofErr w:type="spellEnd"/>
      <w:r w:rsidRPr="00B249BE">
        <w:rPr>
          <w:rFonts w:ascii="Lato" w:eastAsia="Times New Roman" w:hAnsi="Lato" w:cs="Times New Roman"/>
          <w:color w:val="2B2B2B"/>
          <w:kern w:val="0"/>
          <w:sz w:val="21"/>
          <w:szCs w:val="21"/>
          <w14:ligatures w14:val="none"/>
        </w:rPr>
        <w:t>:</w:t>
      </w:r>
    </w:p>
    <w:p w14:paraId="2D780FD1" w14:textId="77777777" w:rsidR="00B249BE" w:rsidRPr="00B249BE" w:rsidRDefault="00B249BE" w:rsidP="00B249BE">
      <w:pPr>
        <w:numPr>
          <w:ilvl w:val="0"/>
          <w:numId w:val="3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avertizorii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public, care au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făcut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o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sesizare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convinși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fiind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realitatea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stării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fapt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fapta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constituie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o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încălcare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legii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beneficiază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prezumţia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bună-credinţă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până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la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proba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contrară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72038297" w14:textId="77777777" w:rsidR="00B249BE" w:rsidRPr="00B249BE" w:rsidRDefault="00B249BE" w:rsidP="00B249BE">
      <w:pPr>
        <w:numPr>
          <w:ilvl w:val="0"/>
          <w:numId w:val="3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la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cererea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avertizorului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cercetat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disciplinar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urmare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unui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act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avertizare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comisiile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disciplină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alte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organisme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similare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din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cadrul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autorităţilor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instituţiilor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companiilor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naționale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regiilor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autonome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național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și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local,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societăților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naționale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cu capital de stat, au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obligaţia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gram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</w:t>
      </w:r>
      <w:proofErr w:type="gram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invita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presa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şi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un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reprezentant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sindicatului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asociaţiei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profesionale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.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Anunţul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se face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comunicat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pagina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Internet </w:t>
      </w:r>
      <w:proofErr w:type="gram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</w:t>
      </w:r>
      <w:proofErr w:type="gram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autorităţii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instituţiei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publice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unităţii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bugetare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cu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cel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puţin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3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zile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lucrătoare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înaintea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şedinţei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sub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sancţiunea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nulităţii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raportului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şi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sancţiunii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disciplinare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aplicate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;</w:t>
      </w:r>
    </w:p>
    <w:p w14:paraId="0BB5D5E4" w14:textId="77777777" w:rsidR="00B249BE" w:rsidRPr="00B249BE" w:rsidRDefault="00B249BE" w:rsidP="00B249BE">
      <w:pPr>
        <w:numPr>
          <w:ilvl w:val="0"/>
          <w:numId w:val="3"/>
        </w:numPr>
        <w:spacing w:after="0" w:line="240" w:lineRule="auto"/>
        <w:ind w:left="930"/>
        <w:jc w:val="both"/>
        <w:textAlignment w:val="baseline"/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</w:pP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situaţia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care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cel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reclamat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prin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avertizarea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în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interes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public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este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şef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ierarhic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direct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indirect,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ori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are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atribuţii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control,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inspecţie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şi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evaluare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gram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</w:t>
      </w:r>
      <w:proofErr w:type="gram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avertizorului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comisia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de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disciplină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sau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alt organism similar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va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asigura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protecţia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avertizorului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,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ascunzându-i</w:t>
      </w:r>
      <w:proofErr w:type="spellEnd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 xml:space="preserve"> </w:t>
      </w:r>
      <w:proofErr w:type="spellStart"/>
      <w:r w:rsidRPr="00B249BE">
        <w:rPr>
          <w:rFonts w:ascii="inherit" w:eastAsia="Times New Roman" w:hAnsi="inherit" w:cs="Times New Roman"/>
          <w:color w:val="2B2B2B"/>
          <w:kern w:val="0"/>
          <w:sz w:val="21"/>
          <w:szCs w:val="21"/>
          <w14:ligatures w14:val="none"/>
        </w:rPr>
        <w:t>identitatea</w:t>
      </w:r>
      <w:proofErr w:type="spellEnd"/>
    </w:p>
    <w:p w14:paraId="2317ED45" w14:textId="77777777" w:rsidR="00B249BE" w:rsidRDefault="00B249BE"/>
    <w:sectPr w:rsidR="00B2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45A1"/>
    <w:multiLevelType w:val="multilevel"/>
    <w:tmpl w:val="D09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20F82"/>
    <w:multiLevelType w:val="multilevel"/>
    <w:tmpl w:val="348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54B76"/>
    <w:multiLevelType w:val="multilevel"/>
    <w:tmpl w:val="66AA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815097">
    <w:abstractNumId w:val="0"/>
  </w:num>
  <w:num w:numId="2" w16cid:durableId="965744612">
    <w:abstractNumId w:val="1"/>
  </w:num>
  <w:num w:numId="3" w16cid:durableId="98247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BE"/>
    <w:rsid w:val="004F15BD"/>
    <w:rsid w:val="007F1E30"/>
    <w:rsid w:val="00B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2D6F"/>
  <w15:chartTrackingRefBased/>
  <w15:docId w15:val="{4E949585-C939-4374-B539-91102B0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4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49B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B249BE"/>
    <w:rPr>
      <w:i/>
      <w:iCs/>
    </w:rPr>
  </w:style>
  <w:style w:type="character" w:styleId="Strong">
    <w:name w:val="Strong"/>
    <w:basedOn w:val="DefaultParagraphFont"/>
    <w:uiPriority w:val="22"/>
    <w:qFormat/>
    <w:rsid w:val="00B249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4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C44053</dc:creator>
  <cp:keywords/>
  <dc:description/>
  <cp:lastModifiedBy>nicu roxana</cp:lastModifiedBy>
  <cp:revision>2</cp:revision>
  <dcterms:created xsi:type="dcterms:W3CDTF">2023-03-20T07:18:00Z</dcterms:created>
  <dcterms:modified xsi:type="dcterms:W3CDTF">2023-04-04T11:06:00Z</dcterms:modified>
</cp:coreProperties>
</file>