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r w:rsidR="00C52AA4">
        <w:t xml:space="preserve">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nr………………………,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B3164A" w:rsidRPr="00B3164A">
        <w:rPr>
          <w:sz w:val="28"/>
          <w:szCs w:val="28"/>
          <w:lang w:val="fr-FR"/>
        </w:rPr>
        <w:t xml:space="preserve">32.113.338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</w:t>
      </w:r>
      <w:proofErr w:type="spellStart"/>
      <w:r w:rsidR="008355D3" w:rsidRPr="00CE09A4">
        <w:rPr>
          <w:b/>
          <w:iCs/>
          <w:sz w:val="28"/>
          <w:szCs w:val="28"/>
        </w:rPr>
        <w:t>meu</w:t>
      </w:r>
      <w:proofErr w:type="spellEnd"/>
      <w:r w:rsidR="008355D3" w:rsidRPr="00CE09A4">
        <w:rPr>
          <w:b/>
          <w:iCs/>
          <w:sz w:val="28"/>
          <w:szCs w:val="28"/>
        </w:rPr>
        <w:t xml:space="preserve">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B3164A">
        <w:rPr>
          <w:sz w:val="28"/>
          <w:szCs w:val="28"/>
          <w:lang w:val="fr-FR"/>
        </w:rPr>
        <w:t xml:space="preserve">la data de </w:t>
      </w:r>
      <w:r w:rsidR="00527462">
        <w:rPr>
          <w:sz w:val="28"/>
          <w:szCs w:val="28"/>
          <w:lang w:val="fr-FR"/>
        </w:rPr>
        <w:t>25</w:t>
      </w:r>
      <w:r w:rsidR="00F03820">
        <w:rPr>
          <w:sz w:val="28"/>
          <w:szCs w:val="28"/>
          <w:lang w:val="fr-FR"/>
        </w:rPr>
        <w:t>.04</w:t>
      </w:r>
      <w:r w:rsidR="00527462">
        <w:rPr>
          <w:sz w:val="28"/>
          <w:szCs w:val="28"/>
          <w:lang w:val="fr-FR"/>
        </w:rPr>
        <w:t>.2024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527462">
        <w:rPr>
          <w:sz w:val="28"/>
          <w:szCs w:val="28"/>
          <w:lang w:val="fr-FR"/>
        </w:rPr>
        <w:t>detul</w:t>
      </w:r>
      <w:proofErr w:type="spellEnd"/>
      <w:r w:rsidR="00527462">
        <w:rPr>
          <w:sz w:val="28"/>
          <w:szCs w:val="28"/>
          <w:lang w:val="fr-FR"/>
        </w:rPr>
        <w:t xml:space="preserve"> Dolj, </w:t>
      </w:r>
      <w:proofErr w:type="spellStart"/>
      <w:r w:rsidR="00527462">
        <w:rPr>
          <w:sz w:val="28"/>
          <w:szCs w:val="28"/>
          <w:lang w:val="fr-FR"/>
        </w:rPr>
        <w:t>sau</w:t>
      </w:r>
      <w:proofErr w:type="spellEnd"/>
      <w:r w:rsidR="00527462">
        <w:rPr>
          <w:sz w:val="28"/>
          <w:szCs w:val="28"/>
          <w:lang w:val="fr-FR"/>
        </w:rPr>
        <w:t xml:space="preserve"> la data de 26</w:t>
      </w:r>
      <w:r w:rsidR="00F03820">
        <w:rPr>
          <w:sz w:val="28"/>
          <w:szCs w:val="28"/>
          <w:lang w:val="fr-FR"/>
        </w:rPr>
        <w:t>.04</w:t>
      </w:r>
      <w:r w:rsidR="00527462">
        <w:rPr>
          <w:sz w:val="28"/>
          <w:szCs w:val="28"/>
          <w:lang w:val="fr-FR"/>
        </w:rPr>
        <w:t>.2024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527462">
        <w:rPr>
          <w:sz w:val="28"/>
          <w:szCs w:val="28"/>
          <w:lang w:val="fr-FR"/>
        </w:rPr>
        <w:t>15</w:t>
      </w:r>
      <w:r w:rsidR="00F03820">
        <w:rPr>
          <w:sz w:val="28"/>
          <w:szCs w:val="28"/>
          <w:lang w:val="fr-FR"/>
        </w:rPr>
        <w:t>.04</w:t>
      </w:r>
      <w:r w:rsidR="00527462">
        <w:rPr>
          <w:sz w:val="28"/>
          <w:szCs w:val="28"/>
          <w:lang w:val="fr-FR"/>
        </w:rPr>
        <w:t>.2024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527462">
        <w:rPr>
          <w:sz w:val="28"/>
          <w:szCs w:val="28"/>
        </w:rPr>
        <w:t>25/26</w:t>
      </w:r>
      <w:r w:rsidR="00F03820">
        <w:rPr>
          <w:sz w:val="28"/>
          <w:szCs w:val="28"/>
        </w:rPr>
        <w:t>.04</w:t>
      </w:r>
      <w:r w:rsidR="00527462">
        <w:rPr>
          <w:sz w:val="28"/>
          <w:szCs w:val="28"/>
        </w:rPr>
        <w:t>.2024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</w:t>
      </w:r>
      <w:r w:rsidR="00527462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1. Prezentarea Raportului Consiliului de Administratie cu privire la activitatea societatii si situatiile financi</w:t>
      </w:r>
      <w:r w:rsidR="00527462">
        <w:rPr>
          <w:rFonts w:cs="Arial"/>
          <w:sz w:val="28"/>
          <w:szCs w:val="28"/>
          <w:lang w:val="ro-RO"/>
        </w:rPr>
        <w:t>are anuale la data de 31.12.2023</w:t>
      </w:r>
      <w:r w:rsidRPr="00F03820">
        <w:rPr>
          <w:rFonts w:cs="Arial"/>
          <w:sz w:val="28"/>
          <w:szCs w:val="28"/>
          <w:lang w:val="ro-RO"/>
        </w:rPr>
        <w:t>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ab/>
      </w:r>
    </w:p>
    <w:tbl>
      <w:tblPr>
        <w:tblW w:w="84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40"/>
        <w:gridCol w:w="998"/>
        <w:gridCol w:w="511"/>
        <w:gridCol w:w="1772"/>
        <w:gridCol w:w="1238"/>
        <w:gridCol w:w="504"/>
        <w:gridCol w:w="1601"/>
      </w:tblGrid>
      <w:tr w:rsidR="00F03820" w:rsidRPr="00F03820" w:rsidTr="00F03820">
        <w:trPr>
          <w:trHeight w:val="436"/>
        </w:trPr>
        <w:tc>
          <w:tcPr>
            <w:tcW w:w="525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40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2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2. Prezentarea Raportului auditorului financiar extern independent cu privire la auditul situatiilor financi</w:t>
      </w:r>
      <w:r w:rsidR="00527462">
        <w:rPr>
          <w:rFonts w:cs="Arial"/>
          <w:sz w:val="28"/>
          <w:szCs w:val="28"/>
          <w:lang w:val="ro-RO"/>
        </w:rPr>
        <w:t>are anuale la data de 31.12.2023</w:t>
      </w:r>
      <w:r w:rsidRPr="00F03820">
        <w:rPr>
          <w:rFonts w:cs="Arial"/>
          <w:sz w:val="28"/>
          <w:szCs w:val="28"/>
          <w:lang w:val="ro-RO"/>
        </w:rPr>
        <w:t>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5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70"/>
        <w:gridCol w:w="1005"/>
        <w:gridCol w:w="511"/>
        <w:gridCol w:w="1783"/>
        <w:gridCol w:w="1242"/>
        <w:gridCol w:w="505"/>
        <w:gridCol w:w="1611"/>
      </w:tblGrid>
      <w:tr w:rsidR="00F03820" w:rsidRPr="00F03820" w:rsidTr="00F03820">
        <w:trPr>
          <w:trHeight w:val="508"/>
        </w:trPr>
        <w:tc>
          <w:tcPr>
            <w:tcW w:w="524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1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11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lastRenderedPageBreak/>
        <w:t xml:space="preserve">     3. Prezentarea, dezbaterea si aprobarea Situatiilor financiare anuale intocmite pentru exerciti</w:t>
      </w:r>
      <w:r w:rsidR="00527462">
        <w:rPr>
          <w:rFonts w:cs="Arial"/>
          <w:sz w:val="28"/>
          <w:szCs w:val="28"/>
          <w:lang w:val="ro-RO"/>
        </w:rPr>
        <w:t>ul financiar aferent anului 2023</w:t>
      </w:r>
      <w:r w:rsidRPr="00F03820">
        <w:rPr>
          <w:rFonts w:cs="Arial"/>
          <w:sz w:val="28"/>
          <w:szCs w:val="28"/>
          <w:lang w:val="ro-RO"/>
        </w:rPr>
        <w:t>, compuse din: Bilant, Contul de profit si pierdere, Date informative, Situatia activelor imobilizate, Situatia modificarii capitalurilor proprii, Situatia fluxului de numerar, Note explicative.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4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1349"/>
        <w:gridCol w:w="979"/>
        <w:gridCol w:w="496"/>
        <w:gridCol w:w="1781"/>
        <w:gridCol w:w="1207"/>
        <w:gridCol w:w="490"/>
        <w:gridCol w:w="1609"/>
      </w:tblGrid>
      <w:tr w:rsidR="00F03820" w:rsidRPr="00F03820" w:rsidTr="00F35EA0">
        <w:trPr>
          <w:trHeight w:val="553"/>
        </w:trPr>
        <w:tc>
          <w:tcPr>
            <w:tcW w:w="508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6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</w:tcPr>
          <w:p w:rsidR="00F03820" w:rsidRPr="00F03820" w:rsidRDefault="00527462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</w:t>
            </w:r>
            <w:r w:rsidR="00F03820" w:rsidRPr="00F03820">
              <w:rPr>
                <w:rFonts w:cs="Arial"/>
                <w:sz w:val="28"/>
                <w:szCs w:val="28"/>
                <w:lang w:val="ro-RO"/>
              </w:rPr>
              <w:t>au</w:t>
            </w:r>
          </w:p>
        </w:tc>
        <w:tc>
          <w:tcPr>
            <w:tcW w:w="490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</w:t>
      </w:r>
      <w:r w:rsidRPr="00F03820">
        <w:rPr>
          <w:rFonts w:cs="Arial"/>
          <w:sz w:val="28"/>
          <w:szCs w:val="28"/>
        </w:rPr>
        <w:t xml:space="preserve">4. </w:t>
      </w:r>
      <w:proofErr w:type="spellStart"/>
      <w:r w:rsidRPr="00F03820">
        <w:rPr>
          <w:rFonts w:cs="Arial"/>
          <w:sz w:val="28"/>
          <w:szCs w:val="28"/>
        </w:rPr>
        <w:t>Aprobarea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repartizarii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pe</w:t>
      </w:r>
      <w:proofErr w:type="spellEnd"/>
      <w:r w:rsidRPr="00F03820">
        <w:rPr>
          <w:rFonts w:cs="Arial"/>
          <w:sz w:val="28"/>
          <w:szCs w:val="28"/>
        </w:rPr>
        <w:t xml:space="preserve"> </w:t>
      </w:r>
      <w:proofErr w:type="spellStart"/>
      <w:r w:rsidRPr="00F03820">
        <w:rPr>
          <w:rFonts w:cs="Arial"/>
          <w:sz w:val="28"/>
          <w:szCs w:val="28"/>
        </w:rPr>
        <w:t>destinatii</w:t>
      </w:r>
      <w:proofErr w:type="spellEnd"/>
      <w:r w:rsidRPr="00F03820">
        <w:rPr>
          <w:rFonts w:cs="Arial"/>
          <w:sz w:val="28"/>
          <w:szCs w:val="28"/>
        </w:rPr>
        <w:t xml:space="preserve"> a </w:t>
      </w:r>
      <w:proofErr w:type="spellStart"/>
      <w:r w:rsidRPr="00F03820">
        <w:rPr>
          <w:rFonts w:cs="Arial"/>
          <w:sz w:val="28"/>
          <w:szCs w:val="28"/>
        </w:rPr>
        <w:t>prof</w:t>
      </w:r>
      <w:r w:rsidR="00527462">
        <w:rPr>
          <w:rFonts w:cs="Arial"/>
          <w:sz w:val="28"/>
          <w:szCs w:val="28"/>
        </w:rPr>
        <w:t>itului</w:t>
      </w:r>
      <w:proofErr w:type="spellEnd"/>
      <w:r w:rsidR="00527462">
        <w:rPr>
          <w:rFonts w:cs="Arial"/>
          <w:sz w:val="28"/>
          <w:szCs w:val="28"/>
        </w:rPr>
        <w:t xml:space="preserve"> net </w:t>
      </w:r>
      <w:proofErr w:type="spellStart"/>
      <w:r w:rsidR="00527462">
        <w:rPr>
          <w:rFonts w:cs="Arial"/>
          <w:sz w:val="28"/>
          <w:szCs w:val="28"/>
        </w:rPr>
        <w:t>realizat</w:t>
      </w:r>
      <w:proofErr w:type="spellEnd"/>
      <w:r w:rsidR="00527462">
        <w:rPr>
          <w:rFonts w:cs="Arial"/>
          <w:sz w:val="28"/>
          <w:szCs w:val="28"/>
        </w:rPr>
        <w:t xml:space="preserve"> in </w:t>
      </w:r>
      <w:proofErr w:type="spellStart"/>
      <w:r w:rsidR="00527462">
        <w:rPr>
          <w:rFonts w:cs="Arial"/>
          <w:sz w:val="28"/>
          <w:szCs w:val="28"/>
        </w:rPr>
        <w:t>anul</w:t>
      </w:r>
      <w:proofErr w:type="spellEnd"/>
      <w:r w:rsidR="00527462">
        <w:rPr>
          <w:rFonts w:cs="Arial"/>
          <w:sz w:val="28"/>
          <w:szCs w:val="28"/>
        </w:rPr>
        <w:t xml:space="preserve"> 2023</w:t>
      </w:r>
      <w:r w:rsidRPr="00F03820">
        <w:rPr>
          <w:rFonts w:cs="Arial"/>
          <w:sz w:val="28"/>
          <w:szCs w:val="28"/>
        </w:rPr>
        <w:t>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</w:t>
      </w:r>
    </w:p>
    <w:tbl>
      <w:tblPr>
        <w:tblW w:w="84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53"/>
        <w:gridCol w:w="987"/>
        <w:gridCol w:w="502"/>
        <w:gridCol w:w="1772"/>
        <w:gridCol w:w="1218"/>
        <w:gridCol w:w="496"/>
        <w:gridCol w:w="1601"/>
      </w:tblGrid>
      <w:tr w:rsidR="00F03820" w:rsidRPr="00F03820" w:rsidTr="00F35EA0">
        <w:trPr>
          <w:trHeight w:val="568"/>
        </w:trPr>
        <w:tc>
          <w:tcPr>
            <w:tcW w:w="534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6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5. Aprobarea descarcarii de gestiune a membrilor Consiliului de Administratie al societatii pentru activitatea desfasurata in exerciti</w:t>
      </w:r>
      <w:r w:rsidR="00527462">
        <w:rPr>
          <w:rFonts w:cs="Arial"/>
          <w:sz w:val="28"/>
          <w:szCs w:val="28"/>
          <w:lang w:val="ro-RO"/>
        </w:rPr>
        <w:t>ul financiar aferent anului 2023</w:t>
      </w:r>
      <w:r w:rsidRPr="00F03820">
        <w:rPr>
          <w:rFonts w:cs="Arial"/>
          <w:sz w:val="28"/>
          <w:szCs w:val="28"/>
          <w:lang w:val="ro-RO"/>
        </w:rPr>
        <w:t>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53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6"/>
        <w:gridCol w:w="1005"/>
        <w:gridCol w:w="512"/>
        <w:gridCol w:w="1772"/>
        <w:gridCol w:w="1243"/>
        <w:gridCol w:w="506"/>
        <w:gridCol w:w="1601"/>
      </w:tblGrid>
      <w:tr w:rsidR="00F03820" w:rsidRPr="00F03820" w:rsidTr="00F35EA0">
        <w:trPr>
          <w:trHeight w:val="554"/>
        </w:trPr>
        <w:tc>
          <w:tcPr>
            <w:tcW w:w="542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9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    6. Aprobarea politicii de remunerare a conducerii administrative si executive a societatii.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4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57"/>
        <w:gridCol w:w="993"/>
        <w:gridCol w:w="505"/>
        <w:gridCol w:w="1772"/>
        <w:gridCol w:w="1227"/>
        <w:gridCol w:w="498"/>
        <w:gridCol w:w="1601"/>
      </w:tblGrid>
      <w:tr w:rsidR="00F03820" w:rsidRPr="00F03820" w:rsidTr="00F35EA0">
        <w:trPr>
          <w:trHeight w:val="508"/>
        </w:trPr>
        <w:tc>
          <w:tcPr>
            <w:tcW w:w="539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4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7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t xml:space="preserve"> </w:t>
      </w:r>
    </w:p>
    <w:p w:rsidR="00F03820" w:rsidRPr="00F03820" w:rsidRDefault="00527462" w:rsidP="00F03820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ro-RO"/>
        </w:rPr>
        <w:t xml:space="preserve">     7</w:t>
      </w:r>
      <w:r w:rsidR="00F03820" w:rsidRPr="00F03820">
        <w:rPr>
          <w:rFonts w:cs="Arial"/>
          <w:sz w:val="28"/>
          <w:szCs w:val="28"/>
          <w:lang w:val="ro-RO"/>
        </w:rPr>
        <w:t>.</w:t>
      </w:r>
      <w:r w:rsidR="00F03820" w:rsidRPr="00F03820">
        <w:rPr>
          <w:rFonts w:cs="Arial"/>
          <w:b/>
          <w:sz w:val="28"/>
          <w:szCs w:val="28"/>
          <w:lang w:val="ro-RO"/>
        </w:rPr>
        <w:t xml:space="preserve"> </w:t>
      </w:r>
      <w:proofErr w:type="spellStart"/>
      <w:r w:rsidR="00F03820" w:rsidRPr="00F03820">
        <w:rPr>
          <w:rFonts w:cs="Arial"/>
          <w:sz w:val="28"/>
          <w:szCs w:val="28"/>
        </w:rPr>
        <w:t>Aprobarea</w:t>
      </w:r>
      <w:proofErr w:type="spellEnd"/>
      <w:r w:rsidR="00F03820" w:rsidRPr="00F03820">
        <w:rPr>
          <w:rFonts w:cs="Arial"/>
          <w:sz w:val="28"/>
          <w:szCs w:val="28"/>
        </w:rPr>
        <w:t xml:space="preserve"> </w:t>
      </w:r>
      <w:proofErr w:type="spellStart"/>
      <w:r w:rsidR="00F03820" w:rsidRPr="00F03820">
        <w:rPr>
          <w:rFonts w:cs="Arial"/>
          <w:sz w:val="28"/>
          <w:szCs w:val="28"/>
        </w:rPr>
        <w:t>datei</w:t>
      </w:r>
      <w:proofErr w:type="spellEnd"/>
      <w:r>
        <w:rPr>
          <w:rFonts w:cs="Arial"/>
          <w:sz w:val="28"/>
          <w:szCs w:val="28"/>
        </w:rPr>
        <w:t xml:space="preserve"> de 17.05.2024</w:t>
      </w:r>
      <w:r w:rsidR="00F03820" w:rsidRPr="00F03820">
        <w:rPr>
          <w:rFonts w:cs="Arial"/>
          <w:sz w:val="28"/>
          <w:szCs w:val="28"/>
        </w:rPr>
        <w:t xml:space="preserve"> ca „data de </w:t>
      </w:r>
      <w:proofErr w:type="spellStart"/>
      <w:r w:rsidR="00F03820" w:rsidRPr="00F03820">
        <w:rPr>
          <w:rFonts w:cs="Arial"/>
          <w:sz w:val="28"/>
          <w:szCs w:val="28"/>
        </w:rPr>
        <w:t>inregistrare</w:t>
      </w:r>
      <w:proofErr w:type="spellEnd"/>
      <w:r w:rsidR="00F03820" w:rsidRPr="00F03820">
        <w:rPr>
          <w:rFonts w:cs="Arial"/>
          <w:sz w:val="28"/>
          <w:szCs w:val="28"/>
        </w:rPr>
        <w:t xml:space="preserve">” </w:t>
      </w:r>
      <w:proofErr w:type="spellStart"/>
      <w:r w:rsidR="00F03820" w:rsidRPr="00F03820">
        <w:rPr>
          <w:rFonts w:cs="Arial"/>
          <w:sz w:val="28"/>
          <w:szCs w:val="28"/>
        </w:rPr>
        <w:t>pentru</w:t>
      </w:r>
      <w:proofErr w:type="spellEnd"/>
      <w:r w:rsidR="00F03820" w:rsidRPr="00F03820">
        <w:rPr>
          <w:rFonts w:cs="Arial"/>
          <w:sz w:val="28"/>
          <w:szCs w:val="28"/>
        </w:rPr>
        <w:t xml:space="preserve"> </w:t>
      </w:r>
      <w:proofErr w:type="spellStart"/>
      <w:r w:rsidR="00F03820" w:rsidRPr="00F03820">
        <w:rPr>
          <w:rFonts w:cs="Arial"/>
          <w:sz w:val="28"/>
          <w:szCs w:val="28"/>
        </w:rPr>
        <w:t>identificarea</w:t>
      </w:r>
      <w:proofErr w:type="spellEnd"/>
      <w:r w:rsidR="00F03820" w:rsidRPr="00F03820">
        <w:rPr>
          <w:rFonts w:cs="Arial"/>
          <w:sz w:val="28"/>
          <w:szCs w:val="28"/>
        </w:rPr>
        <w:t xml:space="preserve"> </w:t>
      </w:r>
      <w:proofErr w:type="spellStart"/>
      <w:r w:rsidR="00F03820" w:rsidRPr="00F03820">
        <w:rPr>
          <w:rFonts w:cs="Arial"/>
          <w:sz w:val="28"/>
          <w:szCs w:val="28"/>
        </w:rPr>
        <w:t>actionarilor</w:t>
      </w:r>
      <w:proofErr w:type="spellEnd"/>
      <w:r w:rsidR="00F03820" w:rsidRPr="00F03820">
        <w:rPr>
          <w:rFonts w:cs="Arial"/>
          <w:sz w:val="28"/>
          <w:szCs w:val="28"/>
        </w:rPr>
        <w:t xml:space="preserve"> </w:t>
      </w:r>
      <w:proofErr w:type="spellStart"/>
      <w:r w:rsidR="00F03820" w:rsidRPr="00F03820">
        <w:rPr>
          <w:rFonts w:cs="Arial"/>
          <w:sz w:val="28"/>
          <w:szCs w:val="28"/>
        </w:rPr>
        <w:t>asupra</w:t>
      </w:r>
      <w:proofErr w:type="spellEnd"/>
      <w:r w:rsidR="00F03820" w:rsidRPr="00F03820">
        <w:rPr>
          <w:rFonts w:cs="Arial"/>
          <w:sz w:val="28"/>
          <w:szCs w:val="28"/>
        </w:rPr>
        <w:t xml:space="preserve"> </w:t>
      </w:r>
      <w:proofErr w:type="spellStart"/>
      <w:r w:rsidR="00F03820" w:rsidRPr="00F03820">
        <w:rPr>
          <w:rFonts w:cs="Arial"/>
          <w:sz w:val="28"/>
          <w:szCs w:val="28"/>
        </w:rPr>
        <w:t>carora</w:t>
      </w:r>
      <w:proofErr w:type="spellEnd"/>
      <w:r w:rsidR="00F03820" w:rsidRPr="00F03820">
        <w:rPr>
          <w:rFonts w:cs="Arial"/>
          <w:sz w:val="28"/>
          <w:szCs w:val="28"/>
        </w:rPr>
        <w:t xml:space="preserve"> se </w:t>
      </w:r>
      <w:proofErr w:type="spellStart"/>
      <w:r w:rsidR="00F03820" w:rsidRPr="00F03820">
        <w:rPr>
          <w:rFonts w:cs="Arial"/>
          <w:sz w:val="28"/>
          <w:szCs w:val="28"/>
        </w:rPr>
        <w:t>rasfrang</w:t>
      </w:r>
      <w:proofErr w:type="spellEnd"/>
      <w:r w:rsidR="00F03820" w:rsidRPr="00F03820">
        <w:rPr>
          <w:rFonts w:cs="Arial"/>
          <w:sz w:val="28"/>
          <w:szCs w:val="28"/>
        </w:rPr>
        <w:t xml:space="preserve"> </w:t>
      </w:r>
      <w:proofErr w:type="spellStart"/>
      <w:r w:rsidR="00F03820" w:rsidRPr="00F03820">
        <w:rPr>
          <w:rFonts w:cs="Arial"/>
          <w:sz w:val="28"/>
          <w:szCs w:val="28"/>
        </w:rPr>
        <w:t>efectele</w:t>
      </w:r>
      <w:proofErr w:type="spellEnd"/>
      <w:r w:rsidR="00F03820" w:rsidRPr="00F03820">
        <w:rPr>
          <w:rFonts w:cs="Arial"/>
          <w:sz w:val="28"/>
          <w:szCs w:val="28"/>
        </w:rPr>
        <w:t xml:space="preserve"> </w:t>
      </w:r>
      <w:proofErr w:type="spellStart"/>
      <w:r w:rsidR="00F03820" w:rsidRPr="00F03820">
        <w:rPr>
          <w:rFonts w:cs="Arial"/>
          <w:sz w:val="28"/>
          <w:szCs w:val="28"/>
        </w:rPr>
        <w:t>hotararilor</w:t>
      </w:r>
      <w:proofErr w:type="spellEnd"/>
      <w:r w:rsidR="00F03820" w:rsidRPr="00F03820">
        <w:rPr>
          <w:rFonts w:cs="Arial"/>
          <w:sz w:val="28"/>
          <w:szCs w:val="28"/>
        </w:rPr>
        <w:t xml:space="preserve"> A.G.O.A.</w:t>
      </w:r>
      <w:r w:rsidR="00F03820" w:rsidRPr="00F03820">
        <w:rPr>
          <w:rFonts w:cs="Arial"/>
          <w:i/>
          <w:sz w:val="28"/>
          <w:szCs w:val="28"/>
        </w:rPr>
        <w:t xml:space="preserve"> </w:t>
      </w:r>
      <w:proofErr w:type="spellStart"/>
      <w:r w:rsidR="00F03820" w:rsidRPr="00F03820">
        <w:rPr>
          <w:rFonts w:cs="Arial"/>
          <w:iCs/>
          <w:sz w:val="28"/>
          <w:szCs w:val="28"/>
        </w:rPr>
        <w:t>si</w:t>
      </w:r>
      <w:proofErr w:type="spellEnd"/>
      <w:r w:rsidR="00F03820" w:rsidRPr="00F03820">
        <w:rPr>
          <w:rFonts w:cs="Arial"/>
          <w:i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a </w:t>
      </w:r>
      <w:proofErr w:type="spellStart"/>
      <w:r>
        <w:rPr>
          <w:rFonts w:cs="Arial"/>
          <w:sz w:val="28"/>
          <w:szCs w:val="28"/>
        </w:rPr>
        <w:t>datei</w:t>
      </w:r>
      <w:proofErr w:type="spellEnd"/>
      <w:r>
        <w:rPr>
          <w:rFonts w:cs="Arial"/>
          <w:sz w:val="28"/>
          <w:szCs w:val="28"/>
        </w:rPr>
        <w:t xml:space="preserve"> de 16.05.2024</w:t>
      </w:r>
      <w:r w:rsidR="00F03820" w:rsidRPr="00F03820">
        <w:rPr>
          <w:rFonts w:cs="Arial"/>
          <w:sz w:val="28"/>
          <w:szCs w:val="28"/>
        </w:rPr>
        <w:t xml:space="preserve"> ca „ex–date”, in </w:t>
      </w:r>
      <w:proofErr w:type="spellStart"/>
      <w:r w:rsidR="00F03820" w:rsidRPr="00F03820">
        <w:rPr>
          <w:rFonts w:cs="Arial"/>
          <w:sz w:val="28"/>
          <w:szCs w:val="28"/>
        </w:rPr>
        <w:t>conformitate</w:t>
      </w:r>
      <w:proofErr w:type="spellEnd"/>
      <w:r w:rsidR="00F03820" w:rsidRPr="00F03820">
        <w:rPr>
          <w:rFonts w:cs="Arial"/>
          <w:sz w:val="28"/>
          <w:szCs w:val="28"/>
        </w:rPr>
        <w:t xml:space="preserve"> cu </w:t>
      </w:r>
      <w:proofErr w:type="spellStart"/>
      <w:r w:rsidR="00F03820" w:rsidRPr="00F03820">
        <w:rPr>
          <w:rFonts w:cs="Arial"/>
          <w:sz w:val="28"/>
          <w:szCs w:val="28"/>
        </w:rPr>
        <w:t>dispozitiile</w:t>
      </w:r>
      <w:proofErr w:type="spellEnd"/>
      <w:r w:rsidR="00F03820" w:rsidRPr="00F03820">
        <w:rPr>
          <w:rFonts w:cs="Arial"/>
          <w:sz w:val="28"/>
          <w:szCs w:val="28"/>
        </w:rPr>
        <w:t xml:space="preserve"> </w:t>
      </w:r>
      <w:proofErr w:type="spellStart"/>
      <w:r w:rsidR="00F03820" w:rsidRPr="00F03820">
        <w:rPr>
          <w:rFonts w:cs="Arial"/>
          <w:sz w:val="28"/>
          <w:szCs w:val="28"/>
        </w:rPr>
        <w:t>Legii</w:t>
      </w:r>
      <w:proofErr w:type="spellEnd"/>
      <w:r w:rsidR="00F03820" w:rsidRPr="00F03820">
        <w:rPr>
          <w:rFonts w:cs="Arial"/>
          <w:sz w:val="28"/>
          <w:szCs w:val="28"/>
        </w:rPr>
        <w:t xml:space="preserve"> nr. 24/2017.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</w:rPr>
      </w:pPr>
    </w:p>
    <w:tbl>
      <w:tblPr>
        <w:tblW w:w="84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62"/>
        <w:gridCol w:w="994"/>
        <w:gridCol w:w="505"/>
        <w:gridCol w:w="1783"/>
        <w:gridCol w:w="1228"/>
        <w:gridCol w:w="498"/>
        <w:gridCol w:w="1611"/>
      </w:tblGrid>
      <w:tr w:rsidR="00F03820" w:rsidRPr="00F03820" w:rsidTr="00F35EA0">
        <w:trPr>
          <w:trHeight w:val="580"/>
        </w:trPr>
        <w:tc>
          <w:tcPr>
            <w:tcW w:w="515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8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11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p w:rsidR="00F03820" w:rsidRPr="00F03820" w:rsidRDefault="00527462" w:rsidP="00F03820">
      <w:pPr>
        <w:jc w:val="both"/>
        <w:rPr>
          <w:rFonts w:cs="Arial"/>
          <w:sz w:val="28"/>
          <w:szCs w:val="28"/>
          <w:lang w:val="ro-RO"/>
        </w:rPr>
      </w:pPr>
      <w:r>
        <w:rPr>
          <w:rFonts w:cs="Arial"/>
          <w:sz w:val="28"/>
          <w:szCs w:val="28"/>
          <w:lang w:val="ro-RO"/>
        </w:rPr>
        <w:t xml:space="preserve">     8</w:t>
      </w:r>
      <w:bookmarkStart w:id="0" w:name="_GoBack"/>
      <w:bookmarkEnd w:id="0"/>
      <w:r w:rsidR="00F03820" w:rsidRPr="00F03820">
        <w:rPr>
          <w:rFonts w:cs="Arial"/>
          <w:sz w:val="28"/>
          <w:szCs w:val="28"/>
          <w:lang w:val="ro-RO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F03820" w:rsidRPr="00F03820" w:rsidRDefault="00F03820" w:rsidP="00F03820">
      <w:pPr>
        <w:jc w:val="both"/>
        <w:rPr>
          <w:rFonts w:cs="Arial"/>
          <w:sz w:val="28"/>
          <w:szCs w:val="28"/>
          <w:lang w:val="ro-RO"/>
        </w:rPr>
      </w:pPr>
    </w:p>
    <w:tbl>
      <w:tblPr>
        <w:tblW w:w="847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1357"/>
        <w:gridCol w:w="989"/>
        <w:gridCol w:w="499"/>
        <w:gridCol w:w="1787"/>
        <w:gridCol w:w="1222"/>
        <w:gridCol w:w="492"/>
        <w:gridCol w:w="1615"/>
      </w:tblGrid>
      <w:tr w:rsidR="00F03820" w:rsidRPr="00F03820" w:rsidTr="00F35EA0">
        <w:trPr>
          <w:trHeight w:val="609"/>
        </w:trPr>
        <w:tc>
          <w:tcPr>
            <w:tcW w:w="512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9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2" w:type="dxa"/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:rsidR="00F03820" w:rsidRPr="00F03820" w:rsidRDefault="00F03820" w:rsidP="00F03820">
            <w:pPr>
              <w:jc w:val="both"/>
              <w:rPr>
                <w:rFonts w:cs="Arial"/>
                <w:sz w:val="28"/>
                <w:szCs w:val="28"/>
                <w:lang w:val="ro-RO"/>
              </w:rPr>
            </w:pPr>
            <w:r w:rsidRPr="00F03820">
              <w:rPr>
                <w:rFonts w:cs="Arial"/>
                <w:sz w:val="28"/>
                <w:szCs w:val="28"/>
                <w:lang w:val="ro-RO"/>
              </w:rPr>
              <w:t>ABTINERE</w:t>
            </w:r>
          </w:p>
        </w:tc>
      </w:tr>
    </w:tbl>
    <w:p w:rsidR="00BC6FD2" w:rsidRPr="00B62161" w:rsidRDefault="00F03820" w:rsidP="009A0092">
      <w:pPr>
        <w:jc w:val="both"/>
        <w:rPr>
          <w:rFonts w:cs="Arial"/>
          <w:sz w:val="28"/>
          <w:szCs w:val="28"/>
          <w:lang w:val="ro-RO"/>
        </w:rPr>
      </w:pPr>
      <w:r w:rsidRPr="00F03820">
        <w:rPr>
          <w:rFonts w:cs="Arial"/>
          <w:sz w:val="28"/>
          <w:szCs w:val="28"/>
          <w:lang w:val="ro-RO"/>
        </w:rPr>
        <w:lastRenderedPageBreak/>
        <w:t xml:space="preserve">      </w:t>
      </w: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FC36FB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</w:t>
      </w:r>
      <w:proofErr w:type="spellStart"/>
      <w:r w:rsidR="00715496" w:rsidRPr="008355D3">
        <w:rPr>
          <w:sz w:val="28"/>
          <w:szCs w:val="28"/>
          <w:lang w:val="fr-FR"/>
        </w:rPr>
        <w:t>identitate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E3D43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8191F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27462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35948"/>
    <w:rsid w:val="00847648"/>
    <w:rsid w:val="00860720"/>
    <w:rsid w:val="008B2933"/>
    <w:rsid w:val="008C3FDB"/>
    <w:rsid w:val="0093498C"/>
    <w:rsid w:val="00963F17"/>
    <w:rsid w:val="00975F77"/>
    <w:rsid w:val="00994D27"/>
    <w:rsid w:val="009A0092"/>
    <w:rsid w:val="009B3B88"/>
    <w:rsid w:val="009C0D54"/>
    <w:rsid w:val="009C73C2"/>
    <w:rsid w:val="009D1E00"/>
    <w:rsid w:val="009D7F47"/>
    <w:rsid w:val="00A13758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2161"/>
    <w:rsid w:val="00B635E3"/>
    <w:rsid w:val="00B80A45"/>
    <w:rsid w:val="00B8512F"/>
    <w:rsid w:val="00B945E9"/>
    <w:rsid w:val="00BC6FD2"/>
    <w:rsid w:val="00BE5170"/>
    <w:rsid w:val="00BF10C5"/>
    <w:rsid w:val="00BF5B91"/>
    <w:rsid w:val="00C34607"/>
    <w:rsid w:val="00C5219D"/>
    <w:rsid w:val="00C52AA4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EE30B4"/>
    <w:rsid w:val="00F0051C"/>
    <w:rsid w:val="00F03820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2024-02-29T09:26:00Z</dcterms:created>
  <dcterms:modified xsi:type="dcterms:W3CDTF">2024-02-29T09:26:00Z</dcterms:modified>
</cp:coreProperties>
</file>