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035752">
        <w:rPr>
          <w:rFonts w:cs="Arial"/>
          <w:sz w:val="28"/>
          <w:szCs w:val="28"/>
        </w:rPr>
        <w:t>13/14.10</w:t>
      </w:r>
      <w:r w:rsidR="00AC40E9">
        <w:rPr>
          <w:rFonts w:cs="Arial"/>
          <w:sz w:val="28"/>
          <w:szCs w:val="28"/>
        </w:rPr>
        <w:t>.2025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035752">
        <w:rPr>
          <w:rFonts w:cs="Arial"/>
          <w:sz w:val="28"/>
          <w:szCs w:val="28"/>
        </w:rPr>
        <w:t>13/14.10</w:t>
      </w:r>
      <w:r w:rsidR="00AC40E9">
        <w:rPr>
          <w:rFonts w:cs="Arial"/>
          <w:sz w:val="28"/>
          <w:szCs w:val="28"/>
        </w:rPr>
        <w:t>.2025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035752" w:rsidRPr="003F7960" w:rsidRDefault="00035752" w:rsidP="000357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1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F92920">
        <w:rPr>
          <w:sz w:val="28"/>
          <w:szCs w:val="28"/>
          <w:lang w:val="en-US"/>
        </w:rPr>
        <w:t>Alegerea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unui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membru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Consiliului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Administratie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societatii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S.A., ca </w:t>
      </w:r>
      <w:proofErr w:type="spellStart"/>
      <w:r w:rsidRPr="00F92920">
        <w:rPr>
          <w:sz w:val="28"/>
          <w:szCs w:val="28"/>
          <w:lang w:val="en-US"/>
        </w:rPr>
        <w:t>urmare</w:t>
      </w:r>
      <w:proofErr w:type="spellEnd"/>
      <w:r w:rsidRPr="00F92920">
        <w:rPr>
          <w:sz w:val="28"/>
          <w:szCs w:val="28"/>
          <w:lang w:val="en-US"/>
        </w:rPr>
        <w:t xml:space="preserve"> a </w:t>
      </w:r>
      <w:proofErr w:type="spellStart"/>
      <w:r w:rsidRPr="00F92920">
        <w:rPr>
          <w:sz w:val="28"/>
          <w:szCs w:val="28"/>
          <w:lang w:val="en-US"/>
        </w:rPr>
        <w:t>vacantarii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unui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mandat</w:t>
      </w:r>
      <w:proofErr w:type="spellEnd"/>
      <w:r w:rsidRPr="00F92920">
        <w:rPr>
          <w:sz w:val="28"/>
          <w:szCs w:val="28"/>
          <w:lang w:val="en-US"/>
        </w:rPr>
        <w:t xml:space="preserve"> de administrator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prin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imposibilitatea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exercitarii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mandatului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catre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domnul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Craciunas Bogdan-Lucian</w:t>
      </w:r>
      <w:r w:rsidRPr="00F92920">
        <w:rPr>
          <w:sz w:val="28"/>
          <w:szCs w:val="28"/>
          <w:lang w:val="en-US"/>
        </w:rPr>
        <w:t xml:space="preserve">, </w:t>
      </w:r>
      <w:proofErr w:type="spellStart"/>
      <w:r w:rsidRPr="00F92920">
        <w:rPr>
          <w:sz w:val="28"/>
          <w:szCs w:val="28"/>
          <w:lang w:val="en-US"/>
        </w:rPr>
        <w:t>numit</w:t>
      </w:r>
      <w:proofErr w:type="spellEnd"/>
      <w:r w:rsidRPr="00F92920">
        <w:rPr>
          <w:sz w:val="28"/>
          <w:szCs w:val="28"/>
          <w:lang w:val="en-US"/>
        </w:rPr>
        <w:t xml:space="preserve"> administrator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 </w:t>
      </w:r>
      <w:proofErr w:type="spellStart"/>
      <w:r w:rsidRPr="00F92920">
        <w:rPr>
          <w:sz w:val="28"/>
          <w:szCs w:val="28"/>
          <w:lang w:val="en-US"/>
        </w:rPr>
        <w:t>societat</w:t>
      </w:r>
      <w:r>
        <w:rPr>
          <w:sz w:val="28"/>
          <w:szCs w:val="28"/>
          <w:lang w:val="en-US"/>
        </w:rPr>
        <w:t>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Hotararea</w:t>
      </w:r>
      <w:proofErr w:type="spellEnd"/>
      <w:r>
        <w:rPr>
          <w:sz w:val="28"/>
          <w:szCs w:val="28"/>
          <w:lang w:val="en-US"/>
        </w:rPr>
        <w:t xml:space="preserve"> A.G.O.A. nr. 5/08.07</w:t>
      </w:r>
      <w:r w:rsidRPr="00F92920">
        <w:rPr>
          <w:sz w:val="28"/>
          <w:szCs w:val="28"/>
          <w:lang w:val="en-US"/>
        </w:rPr>
        <w:t>.2025.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035752" w:rsidRPr="00C456DB" w:rsidTr="00EA0E0C">
        <w:trPr>
          <w:trHeight w:val="469"/>
        </w:trPr>
        <w:tc>
          <w:tcPr>
            <w:tcW w:w="611" w:type="dxa"/>
          </w:tcPr>
          <w:p w:rsidR="00035752" w:rsidRPr="00C456DB" w:rsidRDefault="00035752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035752" w:rsidRPr="00C456DB" w:rsidRDefault="00035752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035752" w:rsidRPr="00C456DB" w:rsidRDefault="00035752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035752" w:rsidRPr="00C456DB" w:rsidRDefault="00035752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035752" w:rsidRPr="00C456DB" w:rsidRDefault="00035752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035752" w:rsidRPr="00C456DB" w:rsidRDefault="00035752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035752" w:rsidRPr="00C456DB" w:rsidRDefault="00035752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035752" w:rsidRPr="00C456DB" w:rsidRDefault="00035752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35752" w:rsidRDefault="00035752" w:rsidP="00035752">
      <w:pPr>
        <w:jc w:val="both"/>
        <w:rPr>
          <w:sz w:val="28"/>
          <w:szCs w:val="28"/>
        </w:rPr>
      </w:pPr>
    </w:p>
    <w:p w:rsidR="00035752" w:rsidRPr="00A37139" w:rsidRDefault="00035752" w:rsidP="00035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3F7960">
        <w:rPr>
          <w:sz w:val="28"/>
          <w:szCs w:val="28"/>
        </w:rPr>
        <w:t>. Stabilirea duratei mandatului administratorului provizoriu ales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3F7960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035752" w:rsidRPr="00DB72AF" w:rsidTr="00EA0E0C">
        <w:trPr>
          <w:trHeight w:val="613"/>
        </w:trPr>
        <w:tc>
          <w:tcPr>
            <w:tcW w:w="612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35752" w:rsidRDefault="00035752" w:rsidP="00035752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035752" w:rsidRPr="003F7960" w:rsidRDefault="00035752" w:rsidP="00035752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  <w:lang w:val="en-US"/>
        </w:rPr>
        <w:t>3</w:t>
      </w:r>
      <w:r w:rsidRPr="003F7960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Stabilirea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indemnizatiei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brute fixe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lunare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cuvenita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administratorului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neexecutiv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3F7960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3F7960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035752" w:rsidRPr="002A5502" w:rsidTr="00EA0E0C">
        <w:trPr>
          <w:trHeight w:val="519"/>
        </w:trPr>
        <w:tc>
          <w:tcPr>
            <w:tcW w:w="613" w:type="dxa"/>
          </w:tcPr>
          <w:p w:rsidR="00035752" w:rsidRPr="002A5502" w:rsidRDefault="00035752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035752" w:rsidRPr="002A5502" w:rsidRDefault="00035752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035752" w:rsidRPr="002A5502" w:rsidRDefault="00035752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035752" w:rsidRPr="002A5502" w:rsidRDefault="00035752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035752" w:rsidRPr="002A5502" w:rsidRDefault="00035752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035752" w:rsidRPr="002A5502" w:rsidRDefault="00035752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035752" w:rsidRPr="002A5502" w:rsidRDefault="00035752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035752" w:rsidRPr="002A5502" w:rsidRDefault="00035752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35752" w:rsidRPr="002A5502" w:rsidRDefault="00035752" w:rsidP="00035752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035752" w:rsidRPr="002A5502" w:rsidRDefault="00035752" w:rsidP="00035752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lastRenderedPageBreak/>
        <w:t xml:space="preserve">  </w:t>
      </w:r>
      <w:r>
        <w:rPr>
          <w:sz w:val="28"/>
          <w:szCs w:val="28"/>
          <w:lang w:val="en-US"/>
        </w:rPr>
        <w:t xml:space="preserve">   4</w:t>
      </w:r>
      <w:r w:rsidRPr="00F92920">
        <w:rPr>
          <w:sz w:val="28"/>
          <w:szCs w:val="28"/>
          <w:lang w:val="en-US"/>
        </w:rPr>
        <w:t xml:space="preserve">. </w:t>
      </w:r>
      <w:proofErr w:type="spellStart"/>
      <w:r w:rsidRPr="00F92920">
        <w:rPr>
          <w:sz w:val="28"/>
          <w:szCs w:val="28"/>
          <w:lang w:val="en-US"/>
        </w:rPr>
        <w:t>Aprobarea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formei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contractului</w:t>
      </w:r>
      <w:proofErr w:type="spellEnd"/>
      <w:r w:rsidRPr="00F92920">
        <w:rPr>
          <w:sz w:val="28"/>
          <w:szCs w:val="28"/>
          <w:lang w:val="en-US"/>
        </w:rPr>
        <w:t xml:space="preserve"> de </w:t>
      </w:r>
      <w:proofErr w:type="spellStart"/>
      <w:r w:rsidRPr="00F92920">
        <w:rPr>
          <w:sz w:val="28"/>
          <w:szCs w:val="28"/>
          <w:lang w:val="en-US"/>
        </w:rPr>
        <w:t>mandat</w:t>
      </w:r>
      <w:proofErr w:type="spellEnd"/>
      <w:r w:rsidRPr="00F92920">
        <w:rPr>
          <w:sz w:val="28"/>
          <w:szCs w:val="28"/>
          <w:lang w:val="en-US"/>
        </w:rPr>
        <w:t xml:space="preserve"> care </w:t>
      </w:r>
      <w:proofErr w:type="spellStart"/>
      <w:r w:rsidRPr="00F92920">
        <w:rPr>
          <w:sz w:val="28"/>
          <w:szCs w:val="28"/>
          <w:lang w:val="en-US"/>
        </w:rPr>
        <w:t>urmeaza</w:t>
      </w:r>
      <w:proofErr w:type="spellEnd"/>
      <w:r w:rsidRPr="00F92920">
        <w:rPr>
          <w:sz w:val="28"/>
          <w:szCs w:val="28"/>
          <w:lang w:val="en-US"/>
        </w:rPr>
        <w:t xml:space="preserve"> a fi </w:t>
      </w:r>
      <w:proofErr w:type="spellStart"/>
      <w:r w:rsidRPr="00F92920">
        <w:rPr>
          <w:sz w:val="28"/>
          <w:szCs w:val="28"/>
          <w:lang w:val="en-US"/>
        </w:rPr>
        <w:t>incheiat</w:t>
      </w:r>
      <w:proofErr w:type="spellEnd"/>
      <w:r w:rsidRPr="00F92920">
        <w:rPr>
          <w:sz w:val="28"/>
          <w:szCs w:val="28"/>
          <w:lang w:val="en-US"/>
        </w:rPr>
        <w:t xml:space="preserve"> cu </w:t>
      </w:r>
      <w:proofErr w:type="spellStart"/>
      <w:r w:rsidRPr="00F92920">
        <w:rPr>
          <w:sz w:val="28"/>
          <w:szCs w:val="28"/>
          <w:lang w:val="en-US"/>
        </w:rPr>
        <w:t>administratorul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provizoriu</w:t>
      </w:r>
      <w:proofErr w:type="spellEnd"/>
      <w:r w:rsidRPr="00F92920">
        <w:rPr>
          <w:sz w:val="28"/>
          <w:szCs w:val="28"/>
          <w:lang w:val="en-US"/>
        </w:rPr>
        <w:t xml:space="preserve"> ales al </w:t>
      </w:r>
      <w:proofErr w:type="spellStart"/>
      <w:r w:rsidRPr="00F92920">
        <w:rPr>
          <w:sz w:val="28"/>
          <w:szCs w:val="28"/>
          <w:lang w:val="en-US"/>
        </w:rPr>
        <w:t>societatii</w:t>
      </w:r>
      <w:proofErr w:type="spellEnd"/>
      <w:r w:rsidRPr="00F92920">
        <w:rPr>
          <w:sz w:val="28"/>
          <w:szCs w:val="28"/>
          <w:lang w:val="en-US"/>
        </w:rPr>
        <w:t xml:space="preserve"> </w:t>
      </w:r>
      <w:proofErr w:type="spellStart"/>
      <w:r w:rsidRPr="00F92920">
        <w:rPr>
          <w:sz w:val="28"/>
          <w:szCs w:val="28"/>
          <w:lang w:val="en-US"/>
        </w:rPr>
        <w:t>Avioane</w:t>
      </w:r>
      <w:proofErr w:type="spellEnd"/>
      <w:r w:rsidRPr="00F92920">
        <w:rPr>
          <w:sz w:val="28"/>
          <w:szCs w:val="28"/>
          <w:lang w:val="en-US"/>
        </w:rPr>
        <w:t xml:space="preserve"> Craiova </w:t>
      </w:r>
      <w:proofErr w:type="gramStart"/>
      <w:r w:rsidRPr="00F92920">
        <w:rPr>
          <w:sz w:val="28"/>
          <w:szCs w:val="28"/>
          <w:lang w:val="en-US"/>
        </w:rPr>
        <w:t>S.A..</w:t>
      </w:r>
      <w:proofErr w:type="gramEnd"/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035752" w:rsidRPr="00DB72AF" w:rsidTr="00EA0E0C">
        <w:trPr>
          <w:trHeight w:val="627"/>
        </w:trPr>
        <w:tc>
          <w:tcPr>
            <w:tcW w:w="621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35752" w:rsidRDefault="00035752" w:rsidP="00035752">
      <w:pPr>
        <w:widowControl w:val="0"/>
        <w:jc w:val="both"/>
        <w:rPr>
          <w:rFonts w:cs="Arial"/>
          <w:sz w:val="28"/>
          <w:szCs w:val="28"/>
        </w:rPr>
      </w:pPr>
    </w:p>
    <w:p w:rsidR="00035752" w:rsidRPr="005B15B7" w:rsidRDefault="00035752" w:rsidP="00035752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5. </w:t>
      </w:r>
      <w:proofErr w:type="spellStart"/>
      <w:r w:rsidRPr="00F92920">
        <w:rPr>
          <w:rFonts w:cs="Arial"/>
          <w:sz w:val="28"/>
          <w:szCs w:val="28"/>
          <w:lang w:val="en-US"/>
        </w:rPr>
        <w:t>Imputernicirea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reprezentantului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Ministerului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Economiei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F92920">
        <w:rPr>
          <w:rFonts w:cs="Arial"/>
          <w:sz w:val="28"/>
          <w:szCs w:val="28"/>
          <w:lang w:val="en-US"/>
        </w:rPr>
        <w:t>Digitalizarii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F92920">
        <w:rPr>
          <w:rFonts w:cs="Arial"/>
          <w:sz w:val="28"/>
          <w:szCs w:val="28"/>
          <w:lang w:val="en-US"/>
        </w:rPr>
        <w:t>Antreprenoriatului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si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Turismului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Avioane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F92920">
        <w:rPr>
          <w:rFonts w:cs="Arial"/>
          <w:sz w:val="28"/>
          <w:szCs w:val="28"/>
          <w:lang w:val="en-US"/>
        </w:rPr>
        <w:t>pentru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semnarea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contractului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F92920">
        <w:rPr>
          <w:rFonts w:cs="Arial"/>
          <w:sz w:val="28"/>
          <w:szCs w:val="28"/>
          <w:lang w:val="en-US"/>
        </w:rPr>
        <w:t>mandat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al </w:t>
      </w:r>
      <w:proofErr w:type="spellStart"/>
      <w:r w:rsidRPr="00F92920">
        <w:rPr>
          <w:rFonts w:cs="Arial"/>
          <w:sz w:val="28"/>
          <w:szCs w:val="28"/>
          <w:lang w:val="en-US"/>
        </w:rPr>
        <w:t>administratorului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F92920">
        <w:rPr>
          <w:rFonts w:cs="Arial"/>
          <w:sz w:val="28"/>
          <w:szCs w:val="28"/>
          <w:lang w:val="en-US"/>
        </w:rPr>
        <w:t>provizoriu</w:t>
      </w:r>
      <w:proofErr w:type="spellEnd"/>
      <w:r w:rsidRPr="00F92920">
        <w:rPr>
          <w:rFonts w:cs="Arial"/>
          <w:sz w:val="28"/>
          <w:szCs w:val="28"/>
          <w:lang w:val="en-US"/>
        </w:rPr>
        <w:t xml:space="preserve"> ales al </w:t>
      </w:r>
      <w:proofErr w:type="spellStart"/>
      <w:r w:rsidRPr="00F92920">
        <w:rPr>
          <w:rFonts w:cs="Arial"/>
          <w:sz w:val="28"/>
          <w:szCs w:val="28"/>
          <w:lang w:val="en-US"/>
        </w:rPr>
        <w:t>societatii</w:t>
      </w:r>
      <w:proofErr w:type="spellEnd"/>
      <w:r w:rsidRPr="00F92920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035752" w:rsidRPr="00DB72AF" w:rsidTr="00EA0E0C">
        <w:trPr>
          <w:trHeight w:val="627"/>
        </w:trPr>
        <w:tc>
          <w:tcPr>
            <w:tcW w:w="617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35752" w:rsidRDefault="00035752" w:rsidP="00035752">
      <w:pPr>
        <w:jc w:val="both"/>
        <w:rPr>
          <w:rFonts w:cs="Arial"/>
          <w:sz w:val="28"/>
          <w:szCs w:val="28"/>
        </w:rPr>
      </w:pPr>
    </w:p>
    <w:p w:rsidR="00035752" w:rsidRDefault="00035752" w:rsidP="00035752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>
        <w:rPr>
          <w:rFonts w:eastAsia="Arial"/>
          <w:color w:val="000000"/>
          <w:sz w:val="28"/>
          <w:szCs w:val="28"/>
        </w:rPr>
        <w:t>6</w:t>
      </w:r>
      <w:r w:rsidRPr="00B56937">
        <w:rPr>
          <w:rFonts w:eastAsia="Arial"/>
          <w:color w:val="000000"/>
          <w:sz w:val="28"/>
          <w:szCs w:val="28"/>
        </w:rPr>
        <w:t>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035752" w:rsidRPr="00A8417E" w:rsidTr="00EA0E0C">
        <w:trPr>
          <w:trHeight w:val="627"/>
        </w:trPr>
        <w:tc>
          <w:tcPr>
            <w:tcW w:w="617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35752" w:rsidRDefault="00035752" w:rsidP="00035752">
      <w:pPr>
        <w:jc w:val="both"/>
        <w:rPr>
          <w:rFonts w:cs="Arial"/>
          <w:sz w:val="28"/>
          <w:szCs w:val="28"/>
        </w:rPr>
      </w:pPr>
    </w:p>
    <w:p w:rsidR="00035752" w:rsidRPr="003F7960" w:rsidRDefault="00035752" w:rsidP="00035752">
      <w:pPr>
        <w:jc w:val="both"/>
        <w:rPr>
          <w:rFonts w:cs="Arial"/>
          <w:sz w:val="28"/>
          <w:szCs w:val="28"/>
          <w:lang w:val="en-US"/>
        </w:rPr>
      </w:pPr>
      <w:r w:rsidRPr="003F7960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Pr="003F7960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Pr="003F7960">
        <w:rPr>
          <w:rFonts w:cs="Arial"/>
          <w:sz w:val="28"/>
          <w:szCs w:val="28"/>
          <w:lang w:val="en-US"/>
        </w:rPr>
        <w:t>Informare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3F7960">
        <w:rPr>
          <w:rFonts w:cs="Arial"/>
          <w:sz w:val="28"/>
          <w:szCs w:val="28"/>
          <w:lang w:val="en-US"/>
        </w:rPr>
        <w:t>privire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3F7960">
        <w:rPr>
          <w:rFonts w:cs="Arial"/>
          <w:sz w:val="28"/>
          <w:szCs w:val="28"/>
          <w:lang w:val="en-US"/>
        </w:rPr>
        <w:t>Raportul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F7960">
        <w:rPr>
          <w:rFonts w:cs="Arial"/>
          <w:sz w:val="28"/>
          <w:szCs w:val="28"/>
          <w:lang w:val="en-US"/>
        </w:rPr>
        <w:t>inspectie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economico-financiara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nr. CRR-AIF 2479/02.07.2025 </w:t>
      </w:r>
      <w:proofErr w:type="spellStart"/>
      <w:r w:rsidRPr="003F7960">
        <w:rPr>
          <w:rFonts w:cs="Arial"/>
          <w:sz w:val="28"/>
          <w:szCs w:val="28"/>
          <w:lang w:val="en-US"/>
        </w:rPr>
        <w:t>si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Dispozitia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F7960">
        <w:rPr>
          <w:rFonts w:cs="Arial"/>
          <w:sz w:val="28"/>
          <w:szCs w:val="28"/>
          <w:lang w:val="en-US"/>
        </w:rPr>
        <w:t>obligatorie</w:t>
      </w:r>
      <w:proofErr w:type="spellEnd"/>
      <w:r w:rsidRPr="003F7960">
        <w:rPr>
          <w:rFonts w:cs="Arial"/>
          <w:sz w:val="28"/>
          <w:szCs w:val="28"/>
          <w:lang w:val="en-US"/>
        </w:rPr>
        <w:t xml:space="preserve"> nr. CRR-AIF 2478/02.07.2025 ale ANAF.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035752" w:rsidRPr="00A8417E" w:rsidTr="00EA0E0C">
        <w:trPr>
          <w:trHeight w:val="627"/>
        </w:trPr>
        <w:tc>
          <w:tcPr>
            <w:tcW w:w="617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035752" w:rsidRPr="00A8417E" w:rsidRDefault="00035752" w:rsidP="00EA0E0C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035752" w:rsidRPr="00A8417E" w:rsidRDefault="00035752" w:rsidP="00EA0E0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035752" w:rsidRDefault="00035752" w:rsidP="00035752">
      <w:pPr>
        <w:jc w:val="both"/>
        <w:rPr>
          <w:rFonts w:cs="Arial"/>
          <w:sz w:val="28"/>
          <w:szCs w:val="28"/>
          <w:lang w:val="fr-FR"/>
        </w:rPr>
      </w:pPr>
    </w:p>
    <w:p w:rsidR="00035752" w:rsidRPr="002A5502" w:rsidRDefault="00035752" w:rsidP="00035752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8.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29.10</w:t>
      </w:r>
      <w:r w:rsidRPr="002A5502">
        <w:rPr>
          <w:rFonts w:cs="Arial"/>
          <w:sz w:val="28"/>
          <w:szCs w:val="28"/>
          <w:lang w:val="fr-FR"/>
        </w:rPr>
        <w:t xml:space="preserve">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28.10</w:t>
      </w:r>
      <w:r w:rsidRPr="002A5502">
        <w:rPr>
          <w:rFonts w:cs="Arial"/>
          <w:sz w:val="28"/>
          <w:szCs w:val="28"/>
          <w:lang w:val="fr-FR"/>
        </w:rPr>
        <w:t xml:space="preserve">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035752" w:rsidRPr="00086768" w:rsidTr="00EA0E0C">
        <w:trPr>
          <w:trHeight w:val="626"/>
        </w:trPr>
        <w:tc>
          <w:tcPr>
            <w:tcW w:w="611" w:type="dxa"/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035752" w:rsidRPr="00086768" w:rsidRDefault="00035752" w:rsidP="00EA0E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35752" w:rsidRDefault="00035752" w:rsidP="00035752">
      <w:pPr>
        <w:jc w:val="both"/>
        <w:rPr>
          <w:rFonts w:cs="Arial"/>
          <w:sz w:val="28"/>
          <w:szCs w:val="28"/>
        </w:rPr>
      </w:pPr>
    </w:p>
    <w:p w:rsidR="00035752" w:rsidRPr="002A5502" w:rsidRDefault="00035752" w:rsidP="00035752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lastRenderedPageBreak/>
        <w:t xml:space="preserve">  </w:t>
      </w:r>
      <w:r>
        <w:rPr>
          <w:rFonts w:cs="Arial"/>
          <w:sz w:val="28"/>
          <w:szCs w:val="28"/>
          <w:lang w:val="fr-FR"/>
        </w:rPr>
        <w:t xml:space="preserve">   9</w:t>
      </w:r>
      <w:r w:rsidRPr="002A5502">
        <w:rPr>
          <w:rFonts w:cs="Arial"/>
          <w:sz w:val="28"/>
          <w:szCs w:val="28"/>
          <w:lang w:val="fr-FR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90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1"/>
        <w:gridCol w:w="1148"/>
        <w:gridCol w:w="598"/>
        <w:gridCol w:w="1757"/>
        <w:gridCol w:w="1447"/>
        <w:gridCol w:w="590"/>
        <w:gridCol w:w="1389"/>
      </w:tblGrid>
      <w:tr w:rsidR="00035752" w:rsidRPr="00DB72AF" w:rsidTr="00EA0E0C">
        <w:trPr>
          <w:trHeight w:val="657"/>
        </w:trPr>
        <w:tc>
          <w:tcPr>
            <w:tcW w:w="616" w:type="dxa"/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035752" w:rsidRPr="00086768" w:rsidRDefault="00035752" w:rsidP="00EA0E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035752" w:rsidRPr="00086768" w:rsidRDefault="00035752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35752" w:rsidRDefault="00035752" w:rsidP="00035752"/>
    <w:p w:rsidR="00C031C0" w:rsidRPr="002925CD" w:rsidRDefault="00AC40E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35752"/>
    <w:rsid w:val="000C0347"/>
    <w:rsid w:val="00127D37"/>
    <w:rsid w:val="00144B88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25F79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C40E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05CD7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7A25-8E22-4425-A53C-A7931613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2025-09-11T10:01:00Z</dcterms:created>
  <dcterms:modified xsi:type="dcterms:W3CDTF">2025-09-11T10:01:00Z</dcterms:modified>
</cp:coreProperties>
</file>