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0632E7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BA5546">
        <w:rPr>
          <w:rFonts w:cs="Arial"/>
          <w:sz w:val="28"/>
          <w:szCs w:val="28"/>
        </w:rPr>
        <w:t>13/14.11</w:t>
      </w:r>
      <w:r w:rsidR="001F7324">
        <w:rPr>
          <w:rFonts w:cs="Arial"/>
          <w:sz w:val="28"/>
          <w:szCs w:val="28"/>
        </w:rPr>
        <w:t>.2025</w:t>
      </w:r>
    </w:p>
    <w:p w:rsidR="0007544C" w:rsidRPr="00B832F8" w:rsidRDefault="004C153F" w:rsidP="000632E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  <w:bookmarkStart w:id="0" w:name="_GoBack"/>
      <w:bookmarkEnd w:id="0"/>
    </w:p>
    <w:p w:rsidR="003E6AD3" w:rsidRDefault="004C153F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nr.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</w:t>
      </w:r>
      <w:r w:rsidR="00B17F44">
        <w:rPr>
          <w:rFonts w:ascii="Calibri" w:hAnsi="Calibri" w:cs="Arial"/>
          <w:sz w:val="28"/>
          <w:szCs w:val="28"/>
        </w:rPr>
        <w:t>onfera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dreptul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 w:rsidR="00B17F44">
        <w:rPr>
          <w:rFonts w:ascii="Calibri" w:hAnsi="Calibri" w:cs="Arial"/>
          <w:sz w:val="28"/>
          <w:szCs w:val="28"/>
        </w:rPr>
        <w:t>voturi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in </w:t>
      </w:r>
      <w:proofErr w:type="spellStart"/>
      <w:r w:rsidR="00B17F44">
        <w:rPr>
          <w:rFonts w:ascii="Calibri" w:hAnsi="Calibri" w:cs="Arial"/>
          <w:sz w:val="28"/>
          <w:szCs w:val="28"/>
        </w:rPr>
        <w:t>Adunarea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/>
          <w:sz w:val="28"/>
          <w:szCs w:val="28"/>
        </w:rPr>
        <w:t>enerala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Ordinara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a </w:t>
      </w:r>
      <w:proofErr w:type="spellStart"/>
      <w:r w:rsidR="00B17F44"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>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BA5546">
        <w:rPr>
          <w:rFonts w:cs="Arial"/>
          <w:sz w:val="28"/>
          <w:szCs w:val="28"/>
        </w:rPr>
        <w:t>13/14.11</w:t>
      </w:r>
      <w:r w:rsidR="001F7324">
        <w:rPr>
          <w:rFonts w:cs="Arial"/>
          <w:sz w:val="28"/>
          <w:szCs w:val="28"/>
        </w:rPr>
        <w:t>.2025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D57B9" w:rsidRPr="000D57B9" w:rsidRDefault="000D57B9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en-US"/>
        </w:rPr>
        <w:t xml:space="preserve">1.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structurii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dupa</w:t>
      </w:r>
      <w:proofErr w:type="spellEnd"/>
      <w:r w:rsidRPr="00E63308">
        <w:rPr>
          <w:sz w:val="28"/>
          <w:szCs w:val="28"/>
          <w:lang w:val="en-US"/>
        </w:rPr>
        <w:t xml:space="preserve"> cum </w:t>
      </w:r>
      <w:proofErr w:type="spellStart"/>
      <w:r w:rsidRPr="00E63308">
        <w:rPr>
          <w:sz w:val="28"/>
          <w:szCs w:val="28"/>
          <w:lang w:val="en-US"/>
        </w:rPr>
        <w:t>urmeaza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sub forma </w:t>
      </w:r>
      <w:proofErr w:type="spellStart"/>
      <w:r w:rsidRPr="00E63308">
        <w:rPr>
          <w:sz w:val="28"/>
          <w:szCs w:val="28"/>
          <w:lang w:val="en-US"/>
        </w:rPr>
        <w:t>unei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linii</w:t>
      </w:r>
      <w:proofErr w:type="spellEnd"/>
      <w:r w:rsidRPr="00E63308">
        <w:rPr>
          <w:sz w:val="28"/>
          <w:szCs w:val="28"/>
          <w:lang w:val="en-US"/>
        </w:rPr>
        <w:t xml:space="preserve"> de credit (overdraft)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80.000.000 lei;</w:t>
      </w: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300.000.000 lei;</w:t>
      </w: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cumulata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celor</w:t>
      </w:r>
      <w:proofErr w:type="spellEnd"/>
      <w:r w:rsidRPr="00E63308">
        <w:rPr>
          <w:sz w:val="28"/>
          <w:szCs w:val="28"/>
          <w:lang w:val="en-US"/>
        </w:rPr>
        <w:t xml:space="preserve"> 2 </w:t>
      </w:r>
      <w:proofErr w:type="spellStart"/>
      <w:r w:rsidRPr="00E63308">
        <w:rPr>
          <w:sz w:val="28"/>
          <w:szCs w:val="28"/>
          <w:lang w:val="en-US"/>
        </w:rPr>
        <w:t>facilitati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  <w:lang w:val="en-US"/>
        </w:rPr>
        <w:t>sa</w:t>
      </w:r>
      <w:proofErr w:type="spellEnd"/>
      <w:proofErr w:type="gramEnd"/>
      <w:r w:rsidRPr="00E63308">
        <w:rPr>
          <w:sz w:val="28"/>
          <w:szCs w:val="28"/>
          <w:lang w:val="en-US"/>
        </w:rPr>
        <w:t xml:space="preserve"> nu </w:t>
      </w:r>
      <w:proofErr w:type="spellStart"/>
      <w:r w:rsidRPr="00E63308">
        <w:rPr>
          <w:sz w:val="28"/>
          <w:szCs w:val="28"/>
          <w:lang w:val="en-US"/>
        </w:rPr>
        <w:t>depaseasca</w:t>
      </w:r>
      <w:proofErr w:type="spellEnd"/>
      <w:r w:rsidRPr="00E63308">
        <w:rPr>
          <w:sz w:val="28"/>
          <w:szCs w:val="28"/>
          <w:lang w:val="en-US"/>
        </w:rPr>
        <w:t xml:space="preserve"> in </w:t>
      </w:r>
      <w:proofErr w:type="spellStart"/>
      <w:r w:rsidRPr="00E63308">
        <w:rPr>
          <w:sz w:val="28"/>
          <w:szCs w:val="28"/>
          <w:lang w:val="en-US"/>
        </w:rPr>
        <w:t>niciun</w:t>
      </w:r>
      <w:proofErr w:type="spellEnd"/>
      <w:r w:rsidRPr="00E63308">
        <w:rPr>
          <w:sz w:val="28"/>
          <w:szCs w:val="28"/>
          <w:lang w:val="en-US"/>
        </w:rPr>
        <w:t xml:space="preserve"> moment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 a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10.03.2025, de 300.000.000 lei.</w:t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BA5546" w:rsidRPr="00DB72AF" w:rsidTr="00DD79E4">
        <w:trPr>
          <w:trHeight w:val="526"/>
        </w:trPr>
        <w:tc>
          <w:tcPr>
            <w:tcW w:w="610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BA5546" w:rsidRDefault="00BA5546" w:rsidP="00BA5546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fr-FR"/>
        </w:rPr>
        <w:t xml:space="preserve">2.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mentinerii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r w:rsidRPr="00E63308">
        <w:rPr>
          <w:sz w:val="28"/>
          <w:szCs w:val="28"/>
          <w:lang w:val="en-US"/>
        </w:rPr>
        <w:lastRenderedPageBreak/>
        <w:t xml:space="preserve">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cu </w:t>
      </w:r>
      <w:proofErr w:type="spellStart"/>
      <w:r w:rsidRPr="00E63308">
        <w:rPr>
          <w:sz w:val="28"/>
          <w:szCs w:val="28"/>
          <w:lang w:val="en-US"/>
        </w:rPr>
        <w:t>urmatoarele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garantii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BA5546" w:rsidRPr="00E63308" w:rsidRDefault="00BA5546" w:rsidP="00BA5546">
      <w:pPr>
        <w:jc w:val="both"/>
        <w:rPr>
          <w:sz w:val="28"/>
          <w:szCs w:val="28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US"/>
        </w:rPr>
        <w:t>Contractul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Furnizare</w:t>
      </w:r>
      <w:proofErr w:type="spellEnd"/>
      <w:r w:rsidRPr="00E63308">
        <w:rPr>
          <w:sz w:val="28"/>
          <w:szCs w:val="28"/>
          <w:lang w:val="en-US"/>
        </w:rPr>
        <w:t xml:space="preserve"> nr. 19/2/042-C/30.07.2020, </w:t>
      </w:r>
      <w:proofErr w:type="spellStart"/>
      <w:r w:rsidRPr="00E63308">
        <w:rPr>
          <w:sz w:val="28"/>
          <w:szCs w:val="28"/>
          <w:lang w:val="en-US"/>
        </w:rPr>
        <w:t>semnat</w:t>
      </w:r>
      <w:proofErr w:type="spellEnd"/>
      <w:r w:rsidRPr="00E63308">
        <w:rPr>
          <w:sz w:val="28"/>
          <w:szCs w:val="28"/>
          <w:lang w:val="en-US"/>
        </w:rPr>
        <w:t xml:space="preserve"> la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14.08.2020 </w:t>
      </w:r>
      <w:proofErr w:type="spellStart"/>
      <w:r w:rsidRPr="00E63308">
        <w:rPr>
          <w:sz w:val="28"/>
          <w:szCs w:val="28"/>
          <w:lang w:val="en-US"/>
        </w:rPr>
        <w:t>intre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Ministerul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Apararii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Nationale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Unitatea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Militara</w:t>
      </w:r>
      <w:proofErr w:type="spellEnd"/>
      <w:r w:rsidRPr="00E63308">
        <w:rPr>
          <w:sz w:val="28"/>
          <w:szCs w:val="28"/>
          <w:lang w:val="en-US"/>
        </w:rPr>
        <w:t xml:space="preserve"> 02550 </w:t>
      </w:r>
      <w:proofErr w:type="spellStart"/>
      <w:r w:rsidRPr="00E63308">
        <w:rPr>
          <w:sz w:val="28"/>
          <w:szCs w:val="28"/>
          <w:lang w:val="en-US"/>
        </w:rPr>
        <w:t>Bucuresti</w:t>
      </w:r>
      <w:proofErr w:type="spellEnd"/>
      <w:r w:rsidRPr="00E63308">
        <w:rPr>
          <w:sz w:val="28"/>
          <w:szCs w:val="28"/>
          <w:lang w:val="en-US"/>
        </w:rPr>
        <w:t xml:space="preserve">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achizitor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r w:rsidRPr="00E63308">
        <w:rPr>
          <w:sz w:val="28"/>
          <w:szCs w:val="28"/>
        </w:rPr>
        <w:t>intre Ministerul Apararii Nationale, prin Unitatea Militara 01836 Otopeni, in calitate de achizitor si Avioane Craiova S.A., in calitate de furnizor</w:t>
      </w:r>
      <w:r w:rsidRPr="00E63308">
        <w:rPr>
          <w:sz w:val="28"/>
          <w:szCs w:val="28"/>
          <w:lang w:val="en-US"/>
        </w:rPr>
        <w:t xml:space="preserve">;     </w:t>
      </w:r>
    </w:p>
    <w:p w:rsidR="00BA5546" w:rsidRPr="00E63308" w:rsidRDefault="00BA5546" w:rsidP="00BA5546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conturilor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prezente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viitoare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deschise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gramStart"/>
      <w:r w:rsidRPr="00E63308">
        <w:rPr>
          <w:sz w:val="28"/>
          <w:szCs w:val="28"/>
          <w:lang w:val="en-US"/>
        </w:rPr>
        <w:t>S.A..</w:t>
      </w:r>
      <w:proofErr w:type="gramEnd"/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BA5546" w:rsidRPr="00DB72AF" w:rsidTr="00DD79E4">
        <w:trPr>
          <w:trHeight w:val="599"/>
        </w:trPr>
        <w:tc>
          <w:tcPr>
            <w:tcW w:w="606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BA5546" w:rsidRDefault="00BA5546" w:rsidP="00BA5546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BA5546" w:rsidRPr="00E63308" w:rsidRDefault="00BA5546" w:rsidP="00BA5546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E63308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  <w:lang w:val="en-US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BA5546" w:rsidRPr="00DB72AF" w:rsidTr="00DD79E4">
        <w:trPr>
          <w:trHeight w:val="584"/>
        </w:trPr>
        <w:tc>
          <w:tcPr>
            <w:tcW w:w="609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BA5546" w:rsidRPr="00A8417E" w:rsidRDefault="00BA5546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BA5546" w:rsidRPr="00A8417E" w:rsidRDefault="00BA5546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BA5546" w:rsidRPr="00E63308" w:rsidRDefault="00BA5546" w:rsidP="00BA5546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5546" w:rsidRPr="00E63308" w:rsidRDefault="00BA5546" w:rsidP="00BA5546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BA5546" w:rsidRPr="00086768" w:rsidTr="00DD79E4">
        <w:trPr>
          <w:trHeight w:val="626"/>
        </w:trPr>
        <w:tc>
          <w:tcPr>
            <w:tcW w:w="611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BA5546" w:rsidRPr="00086768" w:rsidRDefault="00BA5546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BA5546" w:rsidRDefault="00BA5546" w:rsidP="00BA5546">
      <w:pPr>
        <w:jc w:val="both"/>
        <w:rPr>
          <w:rFonts w:cs="Arial"/>
          <w:sz w:val="28"/>
          <w:szCs w:val="28"/>
        </w:rPr>
      </w:pPr>
    </w:p>
    <w:p w:rsidR="00BA5546" w:rsidRPr="00E63308" w:rsidRDefault="00BA5546" w:rsidP="00BA5546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tbl>
      <w:tblPr>
        <w:tblW w:w="918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1490"/>
        <w:gridCol w:w="1170"/>
        <w:gridCol w:w="609"/>
        <w:gridCol w:w="1792"/>
        <w:gridCol w:w="1475"/>
        <w:gridCol w:w="601"/>
        <w:gridCol w:w="1416"/>
      </w:tblGrid>
      <w:tr w:rsidR="00BA5546" w:rsidRPr="00DB72AF" w:rsidTr="00BA5546">
        <w:trPr>
          <w:trHeight w:val="642"/>
        </w:trPr>
        <w:tc>
          <w:tcPr>
            <w:tcW w:w="628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609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</w:tcBorders>
          </w:tcPr>
          <w:p w:rsidR="00BA5546" w:rsidRPr="00086768" w:rsidRDefault="00BA5546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601" w:type="dxa"/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:rsidR="00BA5546" w:rsidRPr="00086768" w:rsidRDefault="00BA5546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BA5546" w:rsidRDefault="00BA5546" w:rsidP="001F7324">
      <w:pPr>
        <w:jc w:val="both"/>
        <w:rPr>
          <w:sz w:val="28"/>
          <w:szCs w:val="28"/>
        </w:rPr>
      </w:pPr>
    </w:p>
    <w:p w:rsidR="008C529A" w:rsidRPr="002925CD" w:rsidRDefault="000A3BD5" w:rsidP="001F7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 xml:space="preserve">Numele si prenumele ........................  </w:t>
      </w:r>
    </w:p>
    <w:p w:rsidR="008C529A" w:rsidRPr="002925CD" w:rsidRDefault="008C529A" w:rsidP="008C52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A74">
        <w:rPr>
          <w:sz w:val="28"/>
          <w:szCs w:val="28"/>
        </w:rPr>
        <w:t xml:space="preserve">   </w:t>
      </w:r>
      <w:r w:rsidRPr="002925CD">
        <w:rPr>
          <w:sz w:val="28"/>
          <w:szCs w:val="28"/>
        </w:rPr>
        <w:t xml:space="preserve">Semnatura ........................ </w:t>
      </w:r>
    </w:p>
    <w:p w:rsidR="008B5FBC" w:rsidRPr="000A3BD5" w:rsidRDefault="008B5A74" w:rsidP="000A3BD5"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>Data .......................</w:t>
      </w:r>
    </w:p>
    <w:sectPr w:rsidR="008B5FBC" w:rsidRPr="000A3BD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632E7"/>
    <w:rsid w:val="0007544C"/>
    <w:rsid w:val="00086D4E"/>
    <w:rsid w:val="000947C4"/>
    <w:rsid w:val="00095C0F"/>
    <w:rsid w:val="000A3BD5"/>
    <w:rsid w:val="000B52E3"/>
    <w:rsid w:val="000C0347"/>
    <w:rsid w:val="000D57B9"/>
    <w:rsid w:val="00166B55"/>
    <w:rsid w:val="00171604"/>
    <w:rsid w:val="00177A68"/>
    <w:rsid w:val="00183B5D"/>
    <w:rsid w:val="001946F2"/>
    <w:rsid w:val="001D0FDD"/>
    <w:rsid w:val="001E4A5B"/>
    <w:rsid w:val="001E7A1E"/>
    <w:rsid w:val="001F7324"/>
    <w:rsid w:val="00260AB4"/>
    <w:rsid w:val="002B53C2"/>
    <w:rsid w:val="002C379A"/>
    <w:rsid w:val="003E13F1"/>
    <w:rsid w:val="003E6AD3"/>
    <w:rsid w:val="00424B9B"/>
    <w:rsid w:val="00431938"/>
    <w:rsid w:val="004C153F"/>
    <w:rsid w:val="00556EA6"/>
    <w:rsid w:val="005D52A0"/>
    <w:rsid w:val="005E258B"/>
    <w:rsid w:val="00701BE4"/>
    <w:rsid w:val="00724917"/>
    <w:rsid w:val="00736FB3"/>
    <w:rsid w:val="00760BF4"/>
    <w:rsid w:val="00790568"/>
    <w:rsid w:val="00862F36"/>
    <w:rsid w:val="008B5A74"/>
    <w:rsid w:val="008B5FBC"/>
    <w:rsid w:val="008C529A"/>
    <w:rsid w:val="00933A2A"/>
    <w:rsid w:val="00981920"/>
    <w:rsid w:val="009C17FE"/>
    <w:rsid w:val="00A0191B"/>
    <w:rsid w:val="00A01DCE"/>
    <w:rsid w:val="00A41314"/>
    <w:rsid w:val="00A43D67"/>
    <w:rsid w:val="00AC2C79"/>
    <w:rsid w:val="00AD2C6D"/>
    <w:rsid w:val="00AF55A9"/>
    <w:rsid w:val="00B17F44"/>
    <w:rsid w:val="00B21CD5"/>
    <w:rsid w:val="00B5032C"/>
    <w:rsid w:val="00B50A46"/>
    <w:rsid w:val="00B832F8"/>
    <w:rsid w:val="00BA466F"/>
    <w:rsid w:val="00BA5546"/>
    <w:rsid w:val="00C55067"/>
    <w:rsid w:val="00C81102"/>
    <w:rsid w:val="00CC2963"/>
    <w:rsid w:val="00CF3F93"/>
    <w:rsid w:val="00DD0313"/>
    <w:rsid w:val="00DF256B"/>
    <w:rsid w:val="00E10ABB"/>
    <w:rsid w:val="00E37FE9"/>
    <w:rsid w:val="00E64AA8"/>
    <w:rsid w:val="00E71B0D"/>
    <w:rsid w:val="00E95B8A"/>
    <w:rsid w:val="00EB088C"/>
    <w:rsid w:val="00EE2327"/>
    <w:rsid w:val="00F701CE"/>
    <w:rsid w:val="00FD074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D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DC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4</cp:revision>
  <cp:lastPrinted>2016-12-15T08:00:00Z</cp:lastPrinted>
  <dcterms:created xsi:type="dcterms:W3CDTF">2025-10-13T06:00:00Z</dcterms:created>
  <dcterms:modified xsi:type="dcterms:W3CDTF">2025-10-13T06:09:00Z</dcterms:modified>
</cp:coreProperties>
</file>