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86447E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1C4A4E">
        <w:rPr>
          <w:rFonts w:cs="Arial"/>
          <w:sz w:val="28"/>
          <w:szCs w:val="28"/>
        </w:rPr>
        <w:t>22/23.12</w:t>
      </w:r>
      <w:r w:rsidR="007B274B">
        <w:rPr>
          <w:rFonts w:cs="Arial"/>
          <w:sz w:val="28"/>
          <w:szCs w:val="28"/>
        </w:rPr>
        <w:t>.2025</w:t>
      </w:r>
    </w:p>
    <w:p w:rsidR="00171604" w:rsidRPr="00B832F8" w:rsidRDefault="000C0347" w:rsidP="0086447E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354674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354674">
        <w:rPr>
          <w:rFonts w:cs="Arial"/>
          <w:sz w:val="28"/>
          <w:szCs w:val="28"/>
        </w:rPr>
        <w:t>TRANSMIT VOTUL PRIN CORESPONDENTA</w:t>
      </w:r>
      <w:r w:rsidR="00171604" w:rsidRPr="00B832F8">
        <w:rPr>
          <w:rFonts w:cs="Arial"/>
          <w:sz w:val="28"/>
          <w:szCs w:val="28"/>
        </w:rPr>
        <w:t xml:space="preserve"> </w:t>
      </w:r>
    </w:p>
    <w:p w:rsidR="00354674" w:rsidRPr="00DB61AF" w:rsidRDefault="00354674" w:rsidP="00DB61AF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E232EE">
        <w:rPr>
          <w:rFonts w:cs="Arial"/>
          <w:sz w:val="28"/>
          <w:szCs w:val="28"/>
        </w:rPr>
        <w:t xml:space="preserve"> </w:t>
      </w:r>
      <w:r w:rsidR="009B1F95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 xml:space="preserve">e de </w:t>
      </w:r>
      <w:r w:rsidR="008320D4">
        <w:rPr>
          <w:rFonts w:cs="Arial"/>
          <w:sz w:val="28"/>
          <w:szCs w:val="28"/>
        </w:rPr>
        <w:t>Avioane C</w:t>
      </w:r>
      <w:r w:rsidR="008320D4" w:rsidRPr="00B832F8">
        <w:rPr>
          <w:rFonts w:cs="Arial"/>
          <w:sz w:val="28"/>
          <w:szCs w:val="28"/>
        </w:rPr>
        <w:t>raiova</w:t>
      </w:r>
      <w:r w:rsidR="00171604" w:rsidRPr="00B832F8">
        <w:rPr>
          <w:rFonts w:cs="Arial"/>
          <w:sz w:val="28"/>
          <w:szCs w:val="28"/>
        </w:rPr>
        <w:t xml:space="preserve"> S.A., care</w:t>
      </w:r>
      <w:r w:rsidR="009C17FE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c</w:t>
      </w:r>
      <w:r>
        <w:rPr>
          <w:rFonts w:cs="Arial"/>
          <w:sz w:val="28"/>
          <w:szCs w:val="28"/>
        </w:rPr>
        <w:t>onfera dreptul la …… voturi i</w:t>
      </w:r>
      <w:r w:rsidR="008320D4">
        <w:rPr>
          <w:rFonts w:cs="Arial"/>
          <w:sz w:val="28"/>
          <w:szCs w:val="28"/>
        </w:rPr>
        <w:t>n Adunarea G</w:t>
      </w:r>
      <w:r>
        <w:rPr>
          <w:rFonts w:cs="Arial"/>
          <w:sz w:val="28"/>
          <w:szCs w:val="28"/>
        </w:rPr>
        <w:t>enerala Extraordinara</w:t>
      </w:r>
      <w:r w:rsidR="008320D4">
        <w:rPr>
          <w:rFonts w:cs="Arial"/>
          <w:sz w:val="28"/>
          <w:szCs w:val="28"/>
        </w:rPr>
        <w:t xml:space="preserve">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dreptul de vot aferent acestor</w:t>
      </w:r>
      <w:r>
        <w:rPr>
          <w:rFonts w:cs="Arial"/>
          <w:sz w:val="28"/>
          <w:szCs w:val="28"/>
        </w:rPr>
        <w:t xml:space="preserve"> act</w:t>
      </w:r>
      <w:r w:rsidR="00CF3F93" w:rsidRPr="00B832F8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>uni pentru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4641D7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1C4A4E">
        <w:rPr>
          <w:rFonts w:cs="Arial"/>
          <w:sz w:val="28"/>
          <w:szCs w:val="28"/>
        </w:rPr>
        <w:t>22/23.12</w:t>
      </w:r>
      <w:r w:rsidR="007B274B">
        <w:rPr>
          <w:rFonts w:cs="Arial"/>
          <w:sz w:val="28"/>
          <w:szCs w:val="28"/>
        </w:rPr>
        <w:t>.2025</w:t>
      </w:r>
      <w:r w:rsidR="00177A68" w:rsidRPr="00B832F8">
        <w:rPr>
          <w:rFonts w:cs="Arial"/>
          <w:sz w:val="28"/>
          <w:szCs w:val="28"/>
        </w:rPr>
        <w:t xml:space="preserve">, </w:t>
      </w:r>
      <w:r w:rsidR="001C4A4E">
        <w:rPr>
          <w:rFonts w:cs="Arial"/>
          <w:sz w:val="28"/>
          <w:szCs w:val="28"/>
        </w:rPr>
        <w:t>ora 12</w:t>
      </w:r>
      <w:r w:rsidR="008320D4">
        <w:rPr>
          <w:rFonts w:cs="Arial"/>
          <w:sz w:val="28"/>
          <w:szCs w:val="28"/>
        </w:rPr>
        <w:t xml:space="preserve">:00, </w:t>
      </w:r>
      <w:r>
        <w:rPr>
          <w:rFonts w:cs="Arial"/>
          <w:sz w:val="28"/>
          <w:szCs w:val="28"/>
        </w:rPr>
        <w:t>dupa cum urmeaza</w:t>
      </w:r>
      <w:r w:rsidR="00CF3F93" w:rsidRPr="00B832F8">
        <w:rPr>
          <w:rFonts w:cs="Arial"/>
          <w:sz w:val="28"/>
          <w:szCs w:val="28"/>
        </w:rPr>
        <w:t xml:space="preserve">: </w:t>
      </w:r>
    </w:p>
    <w:p w:rsidR="0086447E" w:rsidRPr="0086447E" w:rsidRDefault="00E232E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E232EE">
        <w:rPr>
          <w:rFonts w:eastAsia="Arial"/>
          <w:b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b/>
          <w:color w:val="000000"/>
          <w:sz w:val="28"/>
          <w:szCs w:val="28"/>
          <w:lang w:val="en-US"/>
        </w:rPr>
        <w:t xml:space="preserve">   </w:t>
      </w:r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1.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a</w:t>
      </w:r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="0086447E" w:rsidRPr="0086447E">
        <w:rPr>
          <w:rFonts w:eastAsia="Arial"/>
          <w:color w:val="000000"/>
          <w:sz w:val="28"/>
          <w:szCs w:val="28"/>
        </w:rPr>
        <w:t>„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="0086447E" w:rsidRPr="0086447E">
        <w:rPr>
          <w:rFonts w:eastAsia="Arial"/>
          <w:color w:val="000000"/>
          <w:sz w:val="28"/>
          <w:szCs w:val="28"/>
        </w:rPr>
        <w:t xml:space="preserve"> „Statie pompare turn racire</w:t>
      </w:r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="0086447E" w:rsidRPr="0086447E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="0086447E" w:rsidRPr="0086447E">
        <w:rPr>
          <w:rFonts w:eastAsia="Arial"/>
          <w:color w:val="000000"/>
          <w:sz w:val="28"/>
          <w:szCs w:val="28"/>
        </w:rPr>
        <w:t xml:space="preserve">„Statie reglare gaze”, nr. inventar 16,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="0086447E" w:rsidRPr="0086447E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="0086447E" w:rsidRPr="0086447E">
        <w:rPr>
          <w:rFonts w:eastAsia="Arial"/>
          <w:color w:val="000000"/>
          <w:sz w:val="28"/>
          <w:szCs w:val="28"/>
          <w:lang w:val="en-US"/>
        </w:rPr>
        <w:t>.</w:t>
      </w: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en-US"/>
        </w:rPr>
      </w:pPr>
      <w:r w:rsidRPr="0086447E">
        <w:rPr>
          <w:rFonts w:eastAsia="Arial"/>
          <w:color w:val="000000"/>
          <w:sz w:val="28"/>
          <w:szCs w:val="28"/>
          <w:lang w:val="en-US"/>
        </w:rPr>
        <w:t xml:space="preserve">     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86447E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DB61AF" w:rsidRPr="00086768" w:rsidTr="007B274B">
        <w:trPr>
          <w:trHeight w:val="598"/>
        </w:trPr>
        <w:tc>
          <w:tcPr>
            <w:tcW w:w="612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61AF" w:rsidRPr="00ED55A9" w:rsidRDefault="00DB61AF" w:rsidP="00E232EE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p w:rsidR="0086447E" w:rsidRPr="0086447E" w:rsidRDefault="00C231EF" w:rsidP="0086447E">
      <w:pPr>
        <w:widowControl w:val="0"/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</w:t>
      </w:r>
      <w:r w:rsidR="0086447E" w:rsidRPr="0086447E">
        <w:rPr>
          <w:sz w:val="28"/>
          <w:szCs w:val="28"/>
          <w:lang w:val="en-US"/>
        </w:rPr>
        <w:t xml:space="preserve">  </w:t>
      </w:r>
      <w:r w:rsidR="001C4A4E">
        <w:rPr>
          <w:sz w:val="28"/>
          <w:szCs w:val="28"/>
          <w:lang w:val="fr-FR"/>
        </w:rPr>
        <w:t xml:space="preserve">2. </w:t>
      </w:r>
      <w:proofErr w:type="spellStart"/>
      <w:r w:rsidR="001C4A4E">
        <w:rPr>
          <w:sz w:val="28"/>
          <w:szCs w:val="28"/>
          <w:lang w:val="fr-FR"/>
        </w:rPr>
        <w:t>Aprobarea</w:t>
      </w:r>
      <w:proofErr w:type="spellEnd"/>
      <w:r w:rsidR="001C4A4E">
        <w:rPr>
          <w:sz w:val="28"/>
          <w:szCs w:val="28"/>
          <w:lang w:val="fr-FR"/>
        </w:rPr>
        <w:t xml:space="preserve"> </w:t>
      </w:r>
      <w:proofErr w:type="spellStart"/>
      <w:r w:rsidR="001C4A4E">
        <w:rPr>
          <w:sz w:val="28"/>
          <w:szCs w:val="28"/>
          <w:lang w:val="fr-FR"/>
        </w:rPr>
        <w:t>datei</w:t>
      </w:r>
      <w:proofErr w:type="spellEnd"/>
      <w:r w:rsidR="001C4A4E">
        <w:rPr>
          <w:sz w:val="28"/>
          <w:szCs w:val="28"/>
          <w:lang w:val="fr-FR"/>
        </w:rPr>
        <w:t xml:space="preserve"> de 20.01.2026</w:t>
      </w:r>
      <w:r w:rsidR="0086447E" w:rsidRPr="0086447E">
        <w:rPr>
          <w:sz w:val="28"/>
          <w:szCs w:val="28"/>
          <w:lang w:val="fr-FR"/>
        </w:rPr>
        <w:t xml:space="preserve"> ca „data de </w:t>
      </w:r>
      <w:proofErr w:type="spellStart"/>
      <w:r w:rsidR="0086447E" w:rsidRPr="0086447E">
        <w:rPr>
          <w:sz w:val="28"/>
          <w:szCs w:val="28"/>
          <w:lang w:val="fr-FR"/>
        </w:rPr>
        <w:t>inregistrare</w:t>
      </w:r>
      <w:proofErr w:type="spellEnd"/>
      <w:r w:rsidR="0086447E" w:rsidRPr="0086447E">
        <w:rPr>
          <w:sz w:val="28"/>
          <w:szCs w:val="28"/>
          <w:lang w:val="fr-FR"/>
        </w:rPr>
        <w:t xml:space="preserve">” </w:t>
      </w:r>
      <w:proofErr w:type="spellStart"/>
      <w:r w:rsidR="0086447E" w:rsidRPr="0086447E">
        <w:rPr>
          <w:sz w:val="28"/>
          <w:szCs w:val="28"/>
          <w:lang w:val="fr-FR"/>
        </w:rPr>
        <w:t>pentru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identificarea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actionarilor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asupra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carora</w:t>
      </w:r>
      <w:proofErr w:type="spellEnd"/>
      <w:r w:rsidR="0086447E" w:rsidRPr="0086447E">
        <w:rPr>
          <w:sz w:val="28"/>
          <w:szCs w:val="28"/>
          <w:lang w:val="fr-FR"/>
        </w:rPr>
        <w:t xml:space="preserve"> se </w:t>
      </w:r>
      <w:proofErr w:type="spellStart"/>
      <w:r w:rsidR="0086447E" w:rsidRPr="0086447E">
        <w:rPr>
          <w:sz w:val="28"/>
          <w:szCs w:val="28"/>
          <w:lang w:val="fr-FR"/>
        </w:rPr>
        <w:t>rasfrang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efectele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hotar</w:t>
      </w:r>
      <w:r w:rsidR="001C4A4E">
        <w:rPr>
          <w:sz w:val="28"/>
          <w:szCs w:val="28"/>
          <w:lang w:val="fr-FR"/>
        </w:rPr>
        <w:t>arilor</w:t>
      </w:r>
      <w:proofErr w:type="spellEnd"/>
      <w:r w:rsidR="001C4A4E">
        <w:rPr>
          <w:sz w:val="28"/>
          <w:szCs w:val="28"/>
          <w:lang w:val="fr-FR"/>
        </w:rPr>
        <w:t xml:space="preserve"> A.G.E.A. si a </w:t>
      </w:r>
      <w:proofErr w:type="spellStart"/>
      <w:r w:rsidR="001C4A4E">
        <w:rPr>
          <w:sz w:val="28"/>
          <w:szCs w:val="28"/>
          <w:lang w:val="fr-FR"/>
        </w:rPr>
        <w:t>datei</w:t>
      </w:r>
      <w:proofErr w:type="spellEnd"/>
      <w:r w:rsidR="001C4A4E">
        <w:rPr>
          <w:sz w:val="28"/>
          <w:szCs w:val="28"/>
          <w:lang w:val="fr-FR"/>
        </w:rPr>
        <w:t xml:space="preserve"> de 19.01.2026</w:t>
      </w:r>
      <w:r w:rsidR="0086447E" w:rsidRPr="0086447E">
        <w:rPr>
          <w:sz w:val="28"/>
          <w:szCs w:val="28"/>
          <w:lang w:val="fr-FR"/>
        </w:rPr>
        <w:t xml:space="preserve"> ca „ex–date”, in </w:t>
      </w:r>
      <w:proofErr w:type="spellStart"/>
      <w:r w:rsidR="0086447E" w:rsidRPr="0086447E">
        <w:rPr>
          <w:sz w:val="28"/>
          <w:szCs w:val="28"/>
          <w:lang w:val="fr-FR"/>
        </w:rPr>
        <w:t>conformitate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cu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dispozitiile</w:t>
      </w:r>
      <w:proofErr w:type="spellEnd"/>
      <w:r w:rsidR="0086447E" w:rsidRPr="0086447E">
        <w:rPr>
          <w:sz w:val="28"/>
          <w:szCs w:val="28"/>
          <w:lang w:val="fr-FR"/>
        </w:rPr>
        <w:t xml:space="preserve"> </w:t>
      </w:r>
      <w:proofErr w:type="spellStart"/>
      <w:r w:rsidR="0086447E" w:rsidRPr="0086447E">
        <w:rPr>
          <w:sz w:val="28"/>
          <w:szCs w:val="28"/>
          <w:lang w:val="fr-FR"/>
        </w:rPr>
        <w:t>Legii</w:t>
      </w:r>
      <w:proofErr w:type="spellEnd"/>
      <w:r w:rsidR="0086447E" w:rsidRPr="0086447E">
        <w:rPr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DB61AF" w:rsidRPr="00086768" w:rsidTr="00E232EE">
        <w:trPr>
          <w:trHeight w:val="570"/>
        </w:trPr>
        <w:tc>
          <w:tcPr>
            <w:tcW w:w="610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DB61AF" w:rsidRPr="004C6F57" w:rsidRDefault="00DB61AF" w:rsidP="00DB61AF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p w:rsidR="0086447E" w:rsidRPr="0086447E" w:rsidRDefault="0086447E" w:rsidP="0086447E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86447E">
        <w:rPr>
          <w:rFonts w:eastAsia="Arial"/>
          <w:color w:val="000000"/>
          <w:sz w:val="28"/>
          <w:szCs w:val="28"/>
          <w:lang w:val="fr-FR"/>
        </w:rPr>
        <w:t xml:space="preserve">  </w:t>
      </w:r>
      <w:r>
        <w:rPr>
          <w:rFonts w:eastAsia="Arial"/>
          <w:color w:val="000000"/>
          <w:sz w:val="28"/>
          <w:szCs w:val="28"/>
          <w:lang w:val="fr-FR"/>
        </w:rPr>
        <w:t xml:space="preserve">   </w:t>
      </w:r>
      <w:r w:rsidR="001C4A4E">
        <w:rPr>
          <w:rFonts w:eastAsia="Arial"/>
          <w:color w:val="000000"/>
          <w:sz w:val="28"/>
          <w:szCs w:val="28"/>
          <w:lang w:val="fr-FR"/>
        </w:rPr>
        <w:t>3</w:t>
      </w:r>
      <w:bookmarkStart w:id="0" w:name="_GoBack"/>
      <w:bookmarkEnd w:id="0"/>
      <w:r w:rsidRPr="0086447E">
        <w:rPr>
          <w:rFonts w:eastAsia="Arial"/>
          <w:color w:val="000000"/>
          <w:sz w:val="28"/>
          <w:szCs w:val="28"/>
          <w:lang w:val="fr-FR"/>
        </w:rPr>
        <w:t xml:space="preserve">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inregistrarii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lastRenderedPageBreak/>
        <w:t>Comertului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86447E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86447E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DB61AF" w:rsidRPr="00086768" w:rsidTr="0086447E">
        <w:trPr>
          <w:trHeight w:val="627"/>
        </w:trPr>
        <w:tc>
          <w:tcPr>
            <w:tcW w:w="616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DB61AF" w:rsidRPr="00086768" w:rsidRDefault="00DB61AF" w:rsidP="00A92485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DB61AF" w:rsidRPr="00086768" w:rsidRDefault="00DB61AF" w:rsidP="00A92485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C379A" w:rsidRPr="00DB61AF" w:rsidRDefault="002C379A" w:rsidP="002C379A">
      <w:pPr>
        <w:tabs>
          <w:tab w:val="left" w:pos="1470"/>
        </w:tabs>
        <w:jc w:val="both"/>
      </w:pP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B1F95">
        <w:rPr>
          <w:sz w:val="28"/>
          <w:szCs w:val="28"/>
        </w:rPr>
        <w:t xml:space="preserve">  </w:t>
      </w:r>
      <w:r w:rsidRPr="002925CD">
        <w:rPr>
          <w:sz w:val="28"/>
          <w:szCs w:val="28"/>
        </w:rPr>
        <w:t xml:space="preserve">Numele si prenumele ........................  </w:t>
      </w:r>
    </w:p>
    <w:p w:rsidR="009149B9" w:rsidRPr="002925CD" w:rsidRDefault="009149B9" w:rsidP="009149B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 xml:space="preserve">Semnatura ........................ </w:t>
      </w:r>
    </w:p>
    <w:p w:rsidR="009149B9" w:rsidRDefault="009149B9" w:rsidP="009149B9">
      <w:r>
        <w:rPr>
          <w:sz w:val="28"/>
          <w:szCs w:val="28"/>
        </w:rPr>
        <w:t xml:space="preserve"> 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/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A36B73"/>
    <w:multiLevelType w:val="hybridMultilevel"/>
    <w:tmpl w:val="A20AEB68"/>
    <w:lvl w:ilvl="0" w:tplc="532E6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A47"/>
    <w:rsid w:val="00171604"/>
    <w:rsid w:val="00177A68"/>
    <w:rsid w:val="001C4A4E"/>
    <w:rsid w:val="001D0FDD"/>
    <w:rsid w:val="00214AF6"/>
    <w:rsid w:val="002B5DD3"/>
    <w:rsid w:val="002C379A"/>
    <w:rsid w:val="00330358"/>
    <w:rsid w:val="00354674"/>
    <w:rsid w:val="003E13F1"/>
    <w:rsid w:val="004641D7"/>
    <w:rsid w:val="00485813"/>
    <w:rsid w:val="00556EA6"/>
    <w:rsid w:val="005D1A79"/>
    <w:rsid w:val="005E258B"/>
    <w:rsid w:val="006152BB"/>
    <w:rsid w:val="00790568"/>
    <w:rsid w:val="007B274B"/>
    <w:rsid w:val="008320D4"/>
    <w:rsid w:val="0086447E"/>
    <w:rsid w:val="008B25E7"/>
    <w:rsid w:val="008C72CA"/>
    <w:rsid w:val="009149B9"/>
    <w:rsid w:val="00933A2A"/>
    <w:rsid w:val="00973702"/>
    <w:rsid w:val="009B1F95"/>
    <w:rsid w:val="009C17FE"/>
    <w:rsid w:val="00A0191B"/>
    <w:rsid w:val="00A075EE"/>
    <w:rsid w:val="00AF55A9"/>
    <w:rsid w:val="00B5032C"/>
    <w:rsid w:val="00B50A46"/>
    <w:rsid w:val="00B832F8"/>
    <w:rsid w:val="00B95A0B"/>
    <w:rsid w:val="00BA466F"/>
    <w:rsid w:val="00C231EF"/>
    <w:rsid w:val="00C55067"/>
    <w:rsid w:val="00C81102"/>
    <w:rsid w:val="00CF3F93"/>
    <w:rsid w:val="00D5727D"/>
    <w:rsid w:val="00DB61AF"/>
    <w:rsid w:val="00DD0313"/>
    <w:rsid w:val="00DF256B"/>
    <w:rsid w:val="00E10ABB"/>
    <w:rsid w:val="00E232EE"/>
    <w:rsid w:val="00E71B0D"/>
    <w:rsid w:val="00E95B8A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4A583-C31D-400A-B682-DDFE1B4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0">
    <w:name w:val="Body text (2)_"/>
    <w:link w:val="Bodytext21"/>
    <w:rsid w:val="008320D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20D4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2016-12-15T07:00:00Z</cp:lastPrinted>
  <dcterms:created xsi:type="dcterms:W3CDTF">2025-11-19T07:18:00Z</dcterms:created>
  <dcterms:modified xsi:type="dcterms:W3CDTF">2025-11-19T07:18:00Z</dcterms:modified>
</cp:coreProperties>
</file>