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9" w:rsidRPr="00EC602B" w:rsidRDefault="00CF3F93" w:rsidP="00EC602B">
      <w:pPr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>A. AVIOANE CRAIOVA S.A. DIN DATA</w:t>
      </w:r>
      <w:r w:rsidRPr="00EC602B">
        <w:rPr>
          <w:rFonts w:cs="Arial"/>
          <w:sz w:val="28"/>
          <w:szCs w:val="28"/>
        </w:rPr>
        <w:t xml:space="preserve"> DE </w:t>
      </w:r>
      <w:r w:rsidR="003F3747">
        <w:rPr>
          <w:rFonts w:cs="Arial"/>
          <w:sz w:val="28"/>
          <w:szCs w:val="28"/>
        </w:rPr>
        <w:t>28/29.05.2026</w:t>
      </w:r>
    </w:p>
    <w:p w:rsidR="00B20339" w:rsidRPr="00C031C0" w:rsidRDefault="00725A46" w:rsidP="00C031C0">
      <w:pPr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AVIOANE CRAIOVA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3F3747">
        <w:rPr>
          <w:rFonts w:cs="Arial"/>
          <w:sz w:val="28"/>
          <w:szCs w:val="28"/>
        </w:rPr>
        <w:t>28/29.05.2026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1. Prezentarea Raportului Consiliului de Administratie cu privire la activitatea societatii si situatiile financiare anuale la data de 31.12.2025.</w:t>
      </w:r>
      <w:r w:rsidRPr="003F3747">
        <w:rPr>
          <w:sz w:val="28"/>
          <w:szCs w:val="28"/>
        </w:rPr>
        <w:tab/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3F3747" w:rsidRPr="003F3747" w:rsidTr="00E8434B">
        <w:trPr>
          <w:trHeight w:val="526"/>
        </w:trPr>
        <w:tc>
          <w:tcPr>
            <w:tcW w:w="610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2. Prezentarea Raportului auditorului financiar extern independent cu privire la auditul situatiilor financiare anuale la data de 31.12.2025.</w:t>
      </w:r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3F3747" w:rsidRPr="003F3747" w:rsidTr="00E8434B">
        <w:trPr>
          <w:trHeight w:val="599"/>
        </w:trPr>
        <w:tc>
          <w:tcPr>
            <w:tcW w:w="60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3. Prezentarea, dezbaterea si aprobarea Situatiilor financiare anuale intocmite pentru exercitiul financiar aferent anului 2025, compuse din: Bilant, Contul de profit si pierdere, Date informative, Situatia activelor imobilizate, Situatia modificarii capitalurilor proprii, Situatia fluxului de numerar, Note explicative.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3F3747" w:rsidRPr="003F3747" w:rsidTr="00E8434B">
        <w:trPr>
          <w:trHeight w:val="584"/>
        </w:trPr>
        <w:tc>
          <w:tcPr>
            <w:tcW w:w="609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</w:t>
      </w: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4. Aprobarea descarcarii de gestiune a membrilor Consiliului de Administratie al societatii pentru activitatea desfasurata in exercitiul financiar aferent anului 2025.</w:t>
      </w:r>
    </w:p>
    <w:tbl>
      <w:tblPr>
        <w:tblW w:w="88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33"/>
        <w:gridCol w:w="1126"/>
        <w:gridCol w:w="589"/>
        <w:gridCol w:w="1722"/>
        <w:gridCol w:w="1419"/>
        <w:gridCol w:w="581"/>
        <w:gridCol w:w="1362"/>
      </w:tblGrid>
      <w:tr w:rsidR="003F3747" w:rsidRPr="003F3747" w:rsidTr="00E8434B">
        <w:trPr>
          <w:trHeight w:val="599"/>
        </w:trPr>
        <w:tc>
          <w:tcPr>
            <w:tcW w:w="604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</w:t>
      </w: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5. Aprobarea Raportului anual de remunerare a conducerii administrative si executive a societatii aferent anului 2025.</w:t>
      </w:r>
    </w:p>
    <w:tbl>
      <w:tblPr>
        <w:tblW w:w="898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5"/>
        <w:gridCol w:w="598"/>
        <w:gridCol w:w="1751"/>
        <w:gridCol w:w="1442"/>
        <w:gridCol w:w="590"/>
        <w:gridCol w:w="1385"/>
      </w:tblGrid>
      <w:tr w:rsidR="003F3747" w:rsidRPr="003F3747" w:rsidTr="00E8434B">
        <w:trPr>
          <w:trHeight w:val="628"/>
        </w:trPr>
        <w:tc>
          <w:tcPr>
            <w:tcW w:w="614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  <w:lang w:val="en-GB"/>
        </w:rPr>
        <w:t xml:space="preserve">     6.</w:t>
      </w:r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Aprobarea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Politicii</w:t>
      </w:r>
      <w:proofErr w:type="spellEnd"/>
      <w:r w:rsidRPr="003F3747">
        <w:rPr>
          <w:sz w:val="28"/>
          <w:szCs w:val="28"/>
          <w:lang w:val="en-US"/>
        </w:rPr>
        <w:t xml:space="preserve"> de </w:t>
      </w:r>
      <w:proofErr w:type="spellStart"/>
      <w:r w:rsidRPr="003F3747">
        <w:rPr>
          <w:sz w:val="28"/>
          <w:szCs w:val="28"/>
          <w:lang w:val="en-US"/>
        </w:rPr>
        <w:t>remunerare</w:t>
      </w:r>
      <w:proofErr w:type="spellEnd"/>
      <w:r w:rsidRPr="003F3747">
        <w:rPr>
          <w:sz w:val="28"/>
          <w:szCs w:val="28"/>
          <w:lang w:val="en-US"/>
        </w:rPr>
        <w:t xml:space="preserve"> a </w:t>
      </w:r>
      <w:proofErr w:type="spellStart"/>
      <w:r w:rsidRPr="003F3747">
        <w:rPr>
          <w:sz w:val="28"/>
          <w:szCs w:val="28"/>
          <w:lang w:val="en-US"/>
        </w:rPr>
        <w:t>conducerii</w:t>
      </w:r>
      <w:proofErr w:type="spellEnd"/>
      <w:r w:rsidRPr="003F3747">
        <w:rPr>
          <w:sz w:val="28"/>
          <w:szCs w:val="28"/>
          <w:lang w:val="en-US"/>
        </w:rPr>
        <w:t xml:space="preserve"> administrative </w:t>
      </w:r>
      <w:proofErr w:type="spellStart"/>
      <w:r w:rsidRPr="003F3747">
        <w:rPr>
          <w:sz w:val="28"/>
          <w:szCs w:val="28"/>
          <w:lang w:val="en-US"/>
        </w:rPr>
        <w:t>si</w:t>
      </w:r>
      <w:proofErr w:type="spellEnd"/>
      <w:r w:rsidRPr="003F3747">
        <w:rPr>
          <w:sz w:val="28"/>
          <w:szCs w:val="28"/>
          <w:lang w:val="en-US"/>
        </w:rPr>
        <w:t xml:space="preserve"> executive a </w:t>
      </w:r>
      <w:proofErr w:type="spellStart"/>
      <w:r w:rsidRPr="003F3747">
        <w:rPr>
          <w:sz w:val="28"/>
          <w:szCs w:val="28"/>
          <w:lang w:val="en-US"/>
        </w:rPr>
        <w:t>societatii</w:t>
      </w:r>
      <w:proofErr w:type="spellEnd"/>
      <w:r w:rsidRPr="003F3747">
        <w:rPr>
          <w:sz w:val="28"/>
          <w:szCs w:val="28"/>
          <w:lang w:val="en-US"/>
        </w:rPr>
        <w:t>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3F3747" w:rsidRPr="003F3747" w:rsidTr="00E8434B">
        <w:trPr>
          <w:trHeight w:val="613"/>
        </w:trPr>
        <w:tc>
          <w:tcPr>
            <w:tcW w:w="613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</w:rPr>
        <w:t xml:space="preserve">     7. Stabilirea indemnizatiei brute fixe lunare cuvenita administratorilor neexecutivi ai societatii.   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3F3747" w:rsidRPr="003F3747" w:rsidTr="00E8434B">
        <w:trPr>
          <w:trHeight w:val="613"/>
        </w:trPr>
        <w:tc>
          <w:tcPr>
            <w:tcW w:w="613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  <w:lang w:val="en-US"/>
        </w:rPr>
        <w:t xml:space="preserve">     8. </w:t>
      </w:r>
      <w:proofErr w:type="spellStart"/>
      <w:r w:rsidRPr="003F3747">
        <w:rPr>
          <w:sz w:val="28"/>
          <w:szCs w:val="28"/>
          <w:lang w:val="en-US"/>
        </w:rPr>
        <w:t>Aprobarea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limitelor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generale</w:t>
      </w:r>
      <w:proofErr w:type="spellEnd"/>
      <w:r w:rsidRPr="003F3747">
        <w:rPr>
          <w:sz w:val="28"/>
          <w:szCs w:val="28"/>
          <w:lang w:val="en-US"/>
        </w:rPr>
        <w:t xml:space="preserve"> de </w:t>
      </w:r>
      <w:proofErr w:type="spellStart"/>
      <w:r w:rsidRPr="003F3747">
        <w:rPr>
          <w:sz w:val="28"/>
          <w:szCs w:val="28"/>
          <w:lang w:val="en-US"/>
        </w:rPr>
        <w:t>remunerare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pentru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Directorul</w:t>
      </w:r>
      <w:proofErr w:type="spellEnd"/>
      <w:r w:rsidRPr="003F3747">
        <w:rPr>
          <w:sz w:val="28"/>
          <w:szCs w:val="28"/>
          <w:lang w:val="en-US"/>
        </w:rPr>
        <w:t xml:space="preserve"> General </w:t>
      </w:r>
      <w:proofErr w:type="gramStart"/>
      <w:r w:rsidRPr="003F3747">
        <w:rPr>
          <w:sz w:val="28"/>
          <w:szCs w:val="28"/>
          <w:lang w:val="en-US"/>
        </w:rPr>
        <w:t>al</w:t>
      </w:r>
      <w:proofErr w:type="gram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societatii</w:t>
      </w:r>
      <w:proofErr w:type="spellEnd"/>
      <w:r w:rsidRPr="003F3747">
        <w:rPr>
          <w:sz w:val="28"/>
          <w:szCs w:val="28"/>
          <w:lang w:val="en-US"/>
        </w:rPr>
        <w:t>.</w:t>
      </w:r>
    </w:p>
    <w:tbl>
      <w:tblPr>
        <w:tblW w:w="882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32"/>
        <w:gridCol w:w="1125"/>
        <w:gridCol w:w="589"/>
        <w:gridCol w:w="1722"/>
        <w:gridCol w:w="1417"/>
        <w:gridCol w:w="581"/>
        <w:gridCol w:w="1361"/>
      </w:tblGrid>
      <w:tr w:rsidR="003F3747" w:rsidRPr="003F3747" w:rsidTr="00E8434B">
        <w:trPr>
          <w:trHeight w:val="642"/>
        </w:trPr>
        <w:tc>
          <w:tcPr>
            <w:tcW w:w="602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1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</w:rPr>
      </w:pPr>
      <w:r w:rsidRPr="003F3747">
        <w:rPr>
          <w:sz w:val="28"/>
          <w:szCs w:val="28"/>
        </w:rPr>
        <w:t xml:space="preserve">     9. Stabilirea Bugetului de venituri si cheltuieli al societatii pentru anul 2026.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5"/>
        <w:gridCol w:w="1746"/>
        <w:gridCol w:w="1438"/>
        <w:gridCol w:w="587"/>
        <w:gridCol w:w="1380"/>
      </w:tblGrid>
      <w:tr w:rsidR="003F3747" w:rsidRPr="003F3747" w:rsidTr="00E8434B">
        <w:trPr>
          <w:trHeight w:val="672"/>
        </w:trPr>
        <w:tc>
          <w:tcPr>
            <w:tcW w:w="612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  <w:lang w:val="it-IT"/>
        </w:rPr>
        <w:t xml:space="preserve">     10. </w:t>
      </w:r>
      <w:proofErr w:type="spellStart"/>
      <w:r w:rsidRPr="003F3747">
        <w:rPr>
          <w:sz w:val="28"/>
          <w:szCs w:val="28"/>
          <w:lang w:val="en-US"/>
        </w:rPr>
        <w:t>Informare</w:t>
      </w:r>
      <w:proofErr w:type="spellEnd"/>
      <w:r w:rsidRPr="003F3747">
        <w:rPr>
          <w:sz w:val="28"/>
          <w:szCs w:val="28"/>
          <w:lang w:val="en-US"/>
        </w:rPr>
        <w:t xml:space="preserve"> cu </w:t>
      </w:r>
      <w:proofErr w:type="spellStart"/>
      <w:r w:rsidRPr="003F3747">
        <w:rPr>
          <w:sz w:val="28"/>
          <w:szCs w:val="28"/>
          <w:lang w:val="en-US"/>
        </w:rPr>
        <w:t>privire</w:t>
      </w:r>
      <w:proofErr w:type="spellEnd"/>
      <w:r w:rsidRPr="003F3747">
        <w:rPr>
          <w:sz w:val="28"/>
          <w:szCs w:val="28"/>
          <w:lang w:val="en-US"/>
        </w:rPr>
        <w:t xml:space="preserve"> la </w:t>
      </w:r>
      <w:proofErr w:type="spellStart"/>
      <w:r w:rsidRPr="003F3747">
        <w:rPr>
          <w:sz w:val="28"/>
          <w:szCs w:val="28"/>
          <w:lang w:val="en-US"/>
        </w:rPr>
        <w:t>Raportul</w:t>
      </w:r>
      <w:proofErr w:type="spellEnd"/>
      <w:r w:rsidRPr="003F3747">
        <w:rPr>
          <w:sz w:val="28"/>
          <w:szCs w:val="28"/>
          <w:lang w:val="en-US"/>
        </w:rPr>
        <w:t xml:space="preserve"> de </w:t>
      </w:r>
      <w:proofErr w:type="spellStart"/>
      <w:r w:rsidRPr="003F3747">
        <w:rPr>
          <w:sz w:val="28"/>
          <w:szCs w:val="28"/>
          <w:lang w:val="en-US"/>
        </w:rPr>
        <w:t>inspectie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economico-financiara</w:t>
      </w:r>
      <w:proofErr w:type="spellEnd"/>
      <w:r w:rsidRPr="003F3747">
        <w:rPr>
          <w:sz w:val="28"/>
          <w:szCs w:val="28"/>
          <w:lang w:val="en-US"/>
        </w:rPr>
        <w:t xml:space="preserve"> nr. CRR-AIF 1258/11.03.2026 </w:t>
      </w:r>
      <w:proofErr w:type="spellStart"/>
      <w:r w:rsidRPr="003F3747">
        <w:rPr>
          <w:sz w:val="28"/>
          <w:szCs w:val="28"/>
          <w:lang w:val="en-US"/>
        </w:rPr>
        <w:t>si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Dispozitia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obligatorie</w:t>
      </w:r>
      <w:proofErr w:type="spellEnd"/>
      <w:r w:rsidRPr="003F3747">
        <w:rPr>
          <w:sz w:val="28"/>
          <w:szCs w:val="28"/>
          <w:lang w:val="en-US"/>
        </w:rPr>
        <w:t xml:space="preserve"> nr. CRR-AIF 1259/11.03.2026 ale ANAF.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3F3747" w:rsidRPr="003F3747" w:rsidTr="00E8434B">
        <w:trPr>
          <w:trHeight w:val="613"/>
        </w:trPr>
        <w:tc>
          <w:tcPr>
            <w:tcW w:w="613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  <w:lang w:val="en-US"/>
        </w:rPr>
        <w:t xml:space="preserve">     11. </w:t>
      </w:r>
      <w:proofErr w:type="spellStart"/>
      <w:r w:rsidRPr="003F3747">
        <w:rPr>
          <w:sz w:val="28"/>
          <w:szCs w:val="28"/>
          <w:lang w:val="en-US"/>
        </w:rPr>
        <w:t>Aprobarea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datei</w:t>
      </w:r>
      <w:proofErr w:type="spellEnd"/>
      <w:r w:rsidRPr="003F3747">
        <w:rPr>
          <w:sz w:val="28"/>
          <w:szCs w:val="28"/>
          <w:lang w:val="en-US"/>
        </w:rPr>
        <w:t xml:space="preserve"> de 16.06.2026 ca „data de </w:t>
      </w:r>
      <w:proofErr w:type="spellStart"/>
      <w:r w:rsidRPr="003F3747">
        <w:rPr>
          <w:sz w:val="28"/>
          <w:szCs w:val="28"/>
          <w:lang w:val="en-US"/>
        </w:rPr>
        <w:t>inregistrare</w:t>
      </w:r>
      <w:proofErr w:type="spellEnd"/>
      <w:r w:rsidRPr="003F3747">
        <w:rPr>
          <w:sz w:val="28"/>
          <w:szCs w:val="28"/>
          <w:lang w:val="en-US"/>
        </w:rPr>
        <w:t xml:space="preserve">” </w:t>
      </w:r>
      <w:proofErr w:type="spellStart"/>
      <w:r w:rsidRPr="003F3747">
        <w:rPr>
          <w:sz w:val="28"/>
          <w:szCs w:val="28"/>
          <w:lang w:val="en-US"/>
        </w:rPr>
        <w:t>pentru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identificarea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actionarilor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asupra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carora</w:t>
      </w:r>
      <w:proofErr w:type="spellEnd"/>
      <w:r w:rsidRPr="003F3747">
        <w:rPr>
          <w:sz w:val="28"/>
          <w:szCs w:val="28"/>
          <w:lang w:val="en-US"/>
        </w:rPr>
        <w:t xml:space="preserve"> se </w:t>
      </w:r>
      <w:proofErr w:type="spellStart"/>
      <w:r w:rsidRPr="003F3747">
        <w:rPr>
          <w:sz w:val="28"/>
          <w:szCs w:val="28"/>
          <w:lang w:val="en-US"/>
        </w:rPr>
        <w:t>rasfrang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efectele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hotararilor</w:t>
      </w:r>
      <w:proofErr w:type="spellEnd"/>
      <w:r w:rsidRPr="003F3747">
        <w:rPr>
          <w:sz w:val="28"/>
          <w:szCs w:val="28"/>
          <w:lang w:val="en-US"/>
        </w:rPr>
        <w:t xml:space="preserve"> A.G.O.A. </w:t>
      </w:r>
      <w:proofErr w:type="spellStart"/>
      <w:r w:rsidRPr="003F3747">
        <w:rPr>
          <w:sz w:val="28"/>
          <w:szCs w:val="28"/>
          <w:lang w:val="en-US"/>
        </w:rPr>
        <w:t>si</w:t>
      </w:r>
      <w:proofErr w:type="spellEnd"/>
      <w:r w:rsidRPr="003F3747">
        <w:rPr>
          <w:sz w:val="28"/>
          <w:szCs w:val="28"/>
          <w:lang w:val="en-US"/>
        </w:rPr>
        <w:t xml:space="preserve"> a </w:t>
      </w:r>
      <w:proofErr w:type="spellStart"/>
      <w:r w:rsidRPr="003F3747">
        <w:rPr>
          <w:sz w:val="28"/>
          <w:szCs w:val="28"/>
          <w:lang w:val="en-US"/>
        </w:rPr>
        <w:t>datei</w:t>
      </w:r>
      <w:proofErr w:type="spellEnd"/>
      <w:r w:rsidRPr="003F3747">
        <w:rPr>
          <w:sz w:val="28"/>
          <w:szCs w:val="28"/>
          <w:lang w:val="en-US"/>
        </w:rPr>
        <w:t xml:space="preserve"> de 15.06.2026 ca „ex–date”, in </w:t>
      </w:r>
      <w:proofErr w:type="spellStart"/>
      <w:r w:rsidRPr="003F3747">
        <w:rPr>
          <w:sz w:val="28"/>
          <w:szCs w:val="28"/>
          <w:lang w:val="en-US"/>
        </w:rPr>
        <w:t>conformitate</w:t>
      </w:r>
      <w:proofErr w:type="spellEnd"/>
      <w:r w:rsidRPr="003F3747">
        <w:rPr>
          <w:sz w:val="28"/>
          <w:szCs w:val="28"/>
          <w:lang w:val="en-US"/>
        </w:rPr>
        <w:t xml:space="preserve"> cu </w:t>
      </w:r>
      <w:proofErr w:type="spellStart"/>
      <w:r w:rsidRPr="003F3747">
        <w:rPr>
          <w:sz w:val="28"/>
          <w:szCs w:val="28"/>
          <w:lang w:val="en-US"/>
        </w:rPr>
        <w:t>dispozitiile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Legii</w:t>
      </w:r>
      <w:proofErr w:type="spellEnd"/>
      <w:r w:rsidRPr="003F3747">
        <w:rPr>
          <w:sz w:val="28"/>
          <w:szCs w:val="28"/>
          <w:lang w:val="en-US"/>
        </w:rPr>
        <w:t xml:space="preserve"> nr. 24/2017.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4"/>
        <w:gridCol w:w="1142"/>
        <w:gridCol w:w="596"/>
        <w:gridCol w:w="1747"/>
        <w:gridCol w:w="1440"/>
        <w:gridCol w:w="588"/>
        <w:gridCol w:w="1382"/>
      </w:tblGrid>
      <w:tr w:rsidR="003F3747" w:rsidRPr="003F3747" w:rsidTr="00E8434B">
        <w:trPr>
          <w:trHeight w:val="613"/>
        </w:trPr>
        <w:tc>
          <w:tcPr>
            <w:tcW w:w="613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Pr="003F3747" w:rsidRDefault="003F3747" w:rsidP="003F3747">
      <w:pPr>
        <w:jc w:val="both"/>
        <w:rPr>
          <w:sz w:val="28"/>
          <w:szCs w:val="28"/>
        </w:rPr>
      </w:pPr>
      <w:bookmarkStart w:id="0" w:name="_GoBack"/>
      <w:bookmarkEnd w:id="0"/>
    </w:p>
    <w:p w:rsidR="003F3747" w:rsidRPr="003F3747" w:rsidRDefault="003F3747" w:rsidP="003F3747">
      <w:pPr>
        <w:jc w:val="both"/>
        <w:rPr>
          <w:sz w:val="28"/>
          <w:szCs w:val="28"/>
          <w:lang w:val="en-US"/>
        </w:rPr>
      </w:pPr>
      <w:r w:rsidRPr="003F3747">
        <w:rPr>
          <w:sz w:val="28"/>
          <w:szCs w:val="28"/>
          <w:lang w:val="en-US"/>
        </w:rPr>
        <w:t xml:space="preserve">     12. </w:t>
      </w:r>
      <w:proofErr w:type="spellStart"/>
      <w:r w:rsidRPr="003F3747">
        <w:rPr>
          <w:sz w:val="28"/>
          <w:szCs w:val="28"/>
          <w:lang w:val="en-US"/>
        </w:rPr>
        <w:t>Imputernicirea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Presedintelui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Consiliului</w:t>
      </w:r>
      <w:proofErr w:type="spellEnd"/>
      <w:r w:rsidRPr="003F3747">
        <w:rPr>
          <w:sz w:val="28"/>
          <w:szCs w:val="28"/>
          <w:lang w:val="en-US"/>
        </w:rPr>
        <w:t xml:space="preserve"> de </w:t>
      </w:r>
      <w:proofErr w:type="spellStart"/>
      <w:r w:rsidRPr="003F3747">
        <w:rPr>
          <w:sz w:val="28"/>
          <w:szCs w:val="28"/>
          <w:lang w:val="en-US"/>
        </w:rPr>
        <w:t>Administratie</w:t>
      </w:r>
      <w:proofErr w:type="spellEnd"/>
      <w:r w:rsidRPr="003F3747">
        <w:rPr>
          <w:sz w:val="28"/>
          <w:szCs w:val="28"/>
          <w:lang w:val="en-US"/>
        </w:rPr>
        <w:t xml:space="preserve"> al </w:t>
      </w:r>
      <w:proofErr w:type="spellStart"/>
      <w:r w:rsidRPr="003F3747">
        <w:rPr>
          <w:sz w:val="28"/>
          <w:szCs w:val="28"/>
          <w:lang w:val="en-US"/>
        </w:rPr>
        <w:t>societatii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Avioane</w:t>
      </w:r>
      <w:proofErr w:type="spellEnd"/>
      <w:r w:rsidRPr="003F3747">
        <w:rPr>
          <w:sz w:val="28"/>
          <w:szCs w:val="28"/>
          <w:lang w:val="en-US"/>
        </w:rPr>
        <w:t xml:space="preserve"> Craiova S.A. </w:t>
      </w:r>
      <w:proofErr w:type="spellStart"/>
      <w:r w:rsidRPr="003F3747">
        <w:rPr>
          <w:sz w:val="28"/>
          <w:szCs w:val="28"/>
          <w:lang w:val="en-US"/>
        </w:rPr>
        <w:t>pentru</w:t>
      </w:r>
      <w:proofErr w:type="spellEnd"/>
      <w:r w:rsidRPr="003F3747">
        <w:rPr>
          <w:sz w:val="28"/>
          <w:szCs w:val="28"/>
          <w:lang w:val="en-US"/>
        </w:rPr>
        <w:t xml:space="preserve"> a </w:t>
      </w:r>
      <w:proofErr w:type="spellStart"/>
      <w:r w:rsidRPr="003F3747">
        <w:rPr>
          <w:sz w:val="28"/>
          <w:szCs w:val="28"/>
          <w:lang w:val="en-US"/>
        </w:rPr>
        <w:t>efectua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toate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demersurile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necesare</w:t>
      </w:r>
      <w:proofErr w:type="spellEnd"/>
      <w:r w:rsidRPr="003F3747">
        <w:rPr>
          <w:sz w:val="28"/>
          <w:szCs w:val="28"/>
          <w:lang w:val="en-US"/>
        </w:rPr>
        <w:t xml:space="preserve"> in </w:t>
      </w:r>
      <w:proofErr w:type="spellStart"/>
      <w:r w:rsidRPr="003F3747">
        <w:rPr>
          <w:sz w:val="28"/>
          <w:szCs w:val="28"/>
          <w:lang w:val="en-US"/>
        </w:rPr>
        <w:t>vederea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inregistrarii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hotararilor</w:t>
      </w:r>
      <w:proofErr w:type="spellEnd"/>
      <w:r w:rsidRPr="003F3747">
        <w:rPr>
          <w:sz w:val="28"/>
          <w:szCs w:val="28"/>
          <w:lang w:val="en-US"/>
        </w:rPr>
        <w:t xml:space="preserve"> A.G.O.A. </w:t>
      </w:r>
      <w:proofErr w:type="spellStart"/>
      <w:r w:rsidRPr="003F3747">
        <w:rPr>
          <w:sz w:val="28"/>
          <w:szCs w:val="28"/>
          <w:lang w:val="en-US"/>
        </w:rPr>
        <w:t>si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indeplinirii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tuturor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formalitatilor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necesare</w:t>
      </w:r>
      <w:proofErr w:type="spellEnd"/>
      <w:r w:rsidRPr="003F3747">
        <w:rPr>
          <w:sz w:val="28"/>
          <w:szCs w:val="28"/>
          <w:lang w:val="en-US"/>
        </w:rPr>
        <w:t xml:space="preserve"> in fata </w:t>
      </w:r>
      <w:proofErr w:type="spellStart"/>
      <w:r w:rsidRPr="003F3747">
        <w:rPr>
          <w:sz w:val="28"/>
          <w:szCs w:val="28"/>
          <w:lang w:val="en-US"/>
        </w:rPr>
        <w:t>autoritatilor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competente</w:t>
      </w:r>
      <w:proofErr w:type="spellEnd"/>
      <w:r w:rsidRPr="003F3747">
        <w:rPr>
          <w:sz w:val="28"/>
          <w:szCs w:val="28"/>
          <w:lang w:val="en-US"/>
        </w:rPr>
        <w:t xml:space="preserve">, </w:t>
      </w:r>
      <w:proofErr w:type="spellStart"/>
      <w:r w:rsidRPr="003F3747">
        <w:rPr>
          <w:sz w:val="28"/>
          <w:szCs w:val="28"/>
          <w:lang w:val="en-US"/>
        </w:rPr>
        <w:t>incluzand</w:t>
      </w:r>
      <w:proofErr w:type="spellEnd"/>
      <w:r w:rsidRPr="003F3747">
        <w:rPr>
          <w:sz w:val="28"/>
          <w:szCs w:val="28"/>
          <w:lang w:val="en-US"/>
        </w:rPr>
        <w:t xml:space="preserve">, </w:t>
      </w:r>
      <w:proofErr w:type="spellStart"/>
      <w:r w:rsidRPr="003F3747">
        <w:rPr>
          <w:sz w:val="28"/>
          <w:szCs w:val="28"/>
          <w:lang w:val="en-US"/>
        </w:rPr>
        <w:t>dar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fara</w:t>
      </w:r>
      <w:proofErr w:type="spellEnd"/>
      <w:r w:rsidRPr="003F3747">
        <w:rPr>
          <w:sz w:val="28"/>
          <w:szCs w:val="28"/>
          <w:lang w:val="en-US"/>
        </w:rPr>
        <w:t xml:space="preserve"> a se </w:t>
      </w:r>
      <w:proofErr w:type="spellStart"/>
      <w:r w:rsidRPr="003F3747">
        <w:rPr>
          <w:sz w:val="28"/>
          <w:szCs w:val="28"/>
          <w:lang w:val="en-US"/>
        </w:rPr>
        <w:t>limita</w:t>
      </w:r>
      <w:proofErr w:type="spellEnd"/>
      <w:r w:rsidRPr="003F3747">
        <w:rPr>
          <w:sz w:val="28"/>
          <w:szCs w:val="28"/>
          <w:lang w:val="en-US"/>
        </w:rPr>
        <w:t xml:space="preserve"> la </w:t>
      </w:r>
      <w:proofErr w:type="spellStart"/>
      <w:r w:rsidRPr="003F3747">
        <w:rPr>
          <w:sz w:val="28"/>
          <w:szCs w:val="28"/>
          <w:lang w:val="en-US"/>
        </w:rPr>
        <w:t>Oficiul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Registrului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Comertului</w:t>
      </w:r>
      <w:proofErr w:type="spellEnd"/>
      <w:r w:rsidRPr="003F3747">
        <w:rPr>
          <w:sz w:val="28"/>
          <w:szCs w:val="28"/>
          <w:lang w:val="en-US"/>
        </w:rPr>
        <w:t xml:space="preserve">, ASF, BVB. </w:t>
      </w:r>
      <w:proofErr w:type="spellStart"/>
      <w:r w:rsidRPr="003F3747">
        <w:rPr>
          <w:sz w:val="28"/>
          <w:szCs w:val="28"/>
          <w:lang w:val="en-US"/>
        </w:rPr>
        <w:t>Mandatarul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sus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mentionat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F3747">
        <w:rPr>
          <w:sz w:val="28"/>
          <w:szCs w:val="28"/>
          <w:lang w:val="en-US"/>
        </w:rPr>
        <w:t>va</w:t>
      </w:r>
      <w:proofErr w:type="spellEnd"/>
      <w:proofErr w:type="gram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putea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delega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puterile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acordate</w:t>
      </w:r>
      <w:proofErr w:type="spellEnd"/>
      <w:r w:rsidRPr="003F3747">
        <w:rPr>
          <w:sz w:val="28"/>
          <w:szCs w:val="28"/>
          <w:lang w:val="en-US"/>
        </w:rPr>
        <w:t xml:space="preserve"> conform </w:t>
      </w:r>
      <w:proofErr w:type="spellStart"/>
      <w:r w:rsidRPr="003F3747">
        <w:rPr>
          <w:sz w:val="28"/>
          <w:szCs w:val="28"/>
          <w:lang w:val="en-US"/>
        </w:rPr>
        <w:t>celor</w:t>
      </w:r>
      <w:proofErr w:type="spellEnd"/>
      <w:r w:rsidRPr="003F3747">
        <w:rPr>
          <w:sz w:val="28"/>
          <w:szCs w:val="28"/>
          <w:lang w:val="en-US"/>
        </w:rPr>
        <w:t xml:space="preserve"> de </w:t>
      </w:r>
      <w:proofErr w:type="spellStart"/>
      <w:r w:rsidRPr="003F3747">
        <w:rPr>
          <w:sz w:val="28"/>
          <w:szCs w:val="28"/>
          <w:lang w:val="en-US"/>
        </w:rPr>
        <w:t>mai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sus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unei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alte</w:t>
      </w:r>
      <w:proofErr w:type="spellEnd"/>
      <w:r w:rsidRPr="003F3747">
        <w:rPr>
          <w:sz w:val="28"/>
          <w:szCs w:val="28"/>
          <w:lang w:val="en-US"/>
        </w:rPr>
        <w:t xml:space="preserve"> </w:t>
      </w:r>
      <w:proofErr w:type="spellStart"/>
      <w:r w:rsidRPr="003F3747">
        <w:rPr>
          <w:sz w:val="28"/>
          <w:szCs w:val="28"/>
          <w:lang w:val="en-US"/>
        </w:rPr>
        <w:t>persoane</w:t>
      </w:r>
      <w:proofErr w:type="spellEnd"/>
      <w:r w:rsidRPr="003F3747">
        <w:rPr>
          <w:sz w:val="28"/>
          <w:szCs w:val="28"/>
          <w:lang w:val="en-US"/>
        </w:rPr>
        <w:t xml:space="preserve">, </w:t>
      </w:r>
      <w:proofErr w:type="spellStart"/>
      <w:r w:rsidRPr="003F3747">
        <w:rPr>
          <w:sz w:val="28"/>
          <w:szCs w:val="28"/>
          <w:lang w:val="en-US"/>
        </w:rPr>
        <w:t>salariata</w:t>
      </w:r>
      <w:proofErr w:type="spellEnd"/>
      <w:r w:rsidRPr="003F3747">
        <w:rPr>
          <w:sz w:val="28"/>
          <w:szCs w:val="28"/>
          <w:lang w:val="en-US"/>
        </w:rPr>
        <w:t xml:space="preserve"> a </w:t>
      </w:r>
      <w:proofErr w:type="spellStart"/>
      <w:r w:rsidRPr="003F3747">
        <w:rPr>
          <w:sz w:val="28"/>
          <w:szCs w:val="28"/>
          <w:lang w:val="en-US"/>
        </w:rPr>
        <w:t>societatii</w:t>
      </w:r>
      <w:proofErr w:type="spellEnd"/>
      <w:r w:rsidRPr="003F3747">
        <w:rPr>
          <w:sz w:val="28"/>
          <w:szCs w:val="28"/>
          <w:lang w:val="en-US"/>
        </w:rPr>
        <w:t xml:space="preserve">.  </w:t>
      </w:r>
    </w:p>
    <w:tbl>
      <w:tblPr>
        <w:tblW w:w="894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51"/>
        <w:gridCol w:w="1140"/>
        <w:gridCol w:w="596"/>
        <w:gridCol w:w="1745"/>
        <w:gridCol w:w="1436"/>
        <w:gridCol w:w="588"/>
        <w:gridCol w:w="1379"/>
      </w:tblGrid>
      <w:tr w:rsidR="003F3747" w:rsidRPr="003F3747" w:rsidTr="00E8434B">
        <w:trPr>
          <w:trHeight w:val="642"/>
        </w:trPr>
        <w:tc>
          <w:tcPr>
            <w:tcW w:w="610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96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3F3747" w:rsidRPr="003F3747" w:rsidRDefault="003F3747" w:rsidP="003F3747">
            <w:pPr>
              <w:jc w:val="both"/>
              <w:rPr>
                <w:sz w:val="28"/>
                <w:szCs w:val="28"/>
              </w:rPr>
            </w:pPr>
            <w:r w:rsidRPr="003F3747">
              <w:rPr>
                <w:sz w:val="28"/>
                <w:szCs w:val="28"/>
              </w:rPr>
              <w:t>ABTINERE</w:t>
            </w:r>
          </w:p>
        </w:tc>
      </w:tr>
    </w:tbl>
    <w:p w:rsidR="003F3747" w:rsidRDefault="003F3747" w:rsidP="008C6D53">
      <w:pPr>
        <w:jc w:val="both"/>
        <w:rPr>
          <w:sz w:val="28"/>
          <w:szCs w:val="28"/>
        </w:rPr>
      </w:pPr>
    </w:p>
    <w:p w:rsidR="00C031C0" w:rsidRPr="002925CD" w:rsidRDefault="00AC40E9" w:rsidP="008C6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0D4D"/>
    <w:rsid w:val="00025F0B"/>
    <w:rsid w:val="000C0347"/>
    <w:rsid w:val="00127D37"/>
    <w:rsid w:val="00144B88"/>
    <w:rsid w:val="00171604"/>
    <w:rsid w:val="00177A68"/>
    <w:rsid w:val="001D0FDD"/>
    <w:rsid w:val="001F7C38"/>
    <w:rsid w:val="0029079E"/>
    <w:rsid w:val="002B4068"/>
    <w:rsid w:val="002C379A"/>
    <w:rsid w:val="003C7FF3"/>
    <w:rsid w:val="003E13F1"/>
    <w:rsid w:val="003F3747"/>
    <w:rsid w:val="00517F78"/>
    <w:rsid w:val="00535CA6"/>
    <w:rsid w:val="00545106"/>
    <w:rsid w:val="00556EA6"/>
    <w:rsid w:val="005E258B"/>
    <w:rsid w:val="006C5306"/>
    <w:rsid w:val="00725A46"/>
    <w:rsid w:val="00790568"/>
    <w:rsid w:val="008A7859"/>
    <w:rsid w:val="008B4CB3"/>
    <w:rsid w:val="008C6D53"/>
    <w:rsid w:val="008D0C48"/>
    <w:rsid w:val="00933A2A"/>
    <w:rsid w:val="00941AC0"/>
    <w:rsid w:val="0095237D"/>
    <w:rsid w:val="009C17FE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A150-DA4B-4668-9DAC-34878820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2026-04-28T09:48:00Z</dcterms:created>
  <dcterms:modified xsi:type="dcterms:W3CDTF">2026-04-28T09:48:00Z</dcterms:modified>
</cp:coreProperties>
</file>